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440" w:lineRule="exact"/>
        <w:jc w:val="both"/>
        <w:rPr>
          <w:rFonts w:hint="eastAsia" w:ascii="黑体" w:hAnsi="黑体" w:eastAsia="黑体" w:cs="黑体"/>
          <w:color w:val="000000"/>
          <w:spacing w:val="-16"/>
          <w:sz w:val="32"/>
          <w:szCs w:val="32"/>
          <w:lang w:eastAsia="zh-CN"/>
        </w:rPr>
      </w:pPr>
      <w:r>
        <w:rPr>
          <w:rFonts w:hint="eastAsia" w:ascii="黑体" w:hAnsi="黑体" w:eastAsia="黑体" w:cs="黑体"/>
          <w:color w:val="000000"/>
          <w:spacing w:val="-16"/>
          <w:sz w:val="32"/>
          <w:szCs w:val="32"/>
          <w:lang w:eastAsia="zh-CN"/>
        </w:rPr>
        <w:t>附件</w:t>
      </w:r>
    </w:p>
    <w:p>
      <w:pPr>
        <w:topLinePunct/>
        <w:spacing w:line="580" w:lineRule="exact"/>
        <w:jc w:val="center"/>
        <w:rPr>
          <w:rFonts w:ascii="方正小标宋简体" w:hAnsi="方正小标宋简体" w:eastAsia="方正小标宋简体" w:cs="方正小标宋简体"/>
          <w:color w:val="000000"/>
          <w:spacing w:val="-16"/>
          <w:sz w:val="44"/>
          <w:szCs w:val="44"/>
        </w:rPr>
      </w:pPr>
      <w:r>
        <w:rPr>
          <w:rFonts w:hint="eastAsia" w:ascii="方正小标宋简体" w:hAnsi="方正小标宋简体" w:eastAsia="方正小标宋简体" w:cs="方正小标宋简体"/>
          <w:color w:val="000000"/>
          <w:spacing w:val="-16"/>
          <w:sz w:val="44"/>
          <w:szCs w:val="44"/>
        </w:rPr>
        <w:t>《铜川市“吾铜引凤”人才专项行动方案（2022—2025年）》重点任务分工表</w:t>
      </w:r>
    </w:p>
    <w:p>
      <w:pPr>
        <w:pStyle w:val="10"/>
        <w:ind w:firstLine="640"/>
        <w:rPr>
          <w:color w:val="000000"/>
        </w:rPr>
      </w:pPr>
    </w:p>
    <w:tbl>
      <w:tblPr>
        <w:tblStyle w:val="6"/>
        <w:tblW w:w="145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0"/>
        <w:gridCol w:w="975"/>
        <w:gridCol w:w="1020"/>
        <w:gridCol w:w="7695"/>
        <w:gridCol w:w="1710"/>
        <w:gridCol w:w="24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660" w:type="dxa"/>
            <w:vAlign w:val="center"/>
          </w:tcPr>
          <w:p>
            <w:pPr>
              <w:topLinePunct/>
              <w:spacing w:line="260" w:lineRule="exact"/>
              <w:rPr>
                <w:rFonts w:eastAsia="黑体"/>
                <w:color w:val="auto"/>
                <w:spacing w:val="-17"/>
                <w:sz w:val="22"/>
              </w:rPr>
            </w:pPr>
            <w:r>
              <w:rPr>
                <w:rFonts w:hint="eastAsia" w:eastAsia="黑体"/>
                <w:color w:val="auto"/>
                <w:spacing w:val="-17"/>
                <w:sz w:val="22"/>
              </w:rPr>
              <w:t>序号</w:t>
            </w:r>
          </w:p>
        </w:tc>
        <w:tc>
          <w:tcPr>
            <w:tcW w:w="975" w:type="dxa"/>
            <w:vAlign w:val="center"/>
          </w:tcPr>
          <w:p>
            <w:pPr>
              <w:topLinePunct/>
              <w:spacing w:line="260" w:lineRule="exact"/>
              <w:jc w:val="center"/>
              <w:rPr>
                <w:rFonts w:eastAsia="黑体"/>
                <w:color w:val="auto"/>
                <w:spacing w:val="-17"/>
                <w:sz w:val="22"/>
              </w:rPr>
            </w:pPr>
            <w:r>
              <w:rPr>
                <w:rFonts w:hint="eastAsia" w:eastAsia="黑体"/>
                <w:color w:val="auto"/>
                <w:spacing w:val="-17"/>
                <w:sz w:val="22"/>
              </w:rPr>
              <w:t>重点任务</w:t>
            </w:r>
          </w:p>
        </w:tc>
        <w:tc>
          <w:tcPr>
            <w:tcW w:w="1020" w:type="dxa"/>
            <w:vAlign w:val="center"/>
          </w:tcPr>
          <w:p>
            <w:pPr>
              <w:topLinePunct/>
              <w:spacing w:line="260" w:lineRule="exact"/>
              <w:jc w:val="center"/>
              <w:rPr>
                <w:rFonts w:eastAsia="黑体"/>
                <w:color w:val="auto"/>
                <w:spacing w:val="-17"/>
                <w:sz w:val="22"/>
              </w:rPr>
            </w:pPr>
            <w:r>
              <w:rPr>
                <w:rFonts w:hint="eastAsia" w:eastAsia="黑体"/>
                <w:color w:val="auto"/>
                <w:spacing w:val="-17"/>
                <w:sz w:val="22"/>
              </w:rPr>
              <w:t>工作事项</w:t>
            </w:r>
          </w:p>
        </w:tc>
        <w:tc>
          <w:tcPr>
            <w:tcW w:w="7695" w:type="dxa"/>
            <w:vAlign w:val="center"/>
          </w:tcPr>
          <w:p>
            <w:pPr>
              <w:topLinePunct/>
              <w:spacing w:line="260" w:lineRule="exact"/>
              <w:jc w:val="center"/>
              <w:rPr>
                <w:rFonts w:eastAsia="黑体"/>
                <w:color w:val="auto"/>
                <w:spacing w:val="-17"/>
                <w:sz w:val="22"/>
              </w:rPr>
            </w:pPr>
            <w:r>
              <w:rPr>
                <w:rFonts w:hint="eastAsia" w:eastAsia="黑体"/>
                <w:color w:val="auto"/>
                <w:spacing w:val="-17"/>
                <w:sz w:val="22"/>
              </w:rPr>
              <w:t>具体内容</w:t>
            </w:r>
          </w:p>
        </w:tc>
        <w:tc>
          <w:tcPr>
            <w:tcW w:w="1710" w:type="dxa"/>
            <w:vAlign w:val="center"/>
          </w:tcPr>
          <w:p>
            <w:pPr>
              <w:topLinePunct/>
              <w:spacing w:line="260" w:lineRule="exact"/>
              <w:jc w:val="center"/>
              <w:rPr>
                <w:rFonts w:eastAsia="黑体"/>
                <w:color w:val="auto"/>
                <w:spacing w:val="-17"/>
                <w:sz w:val="22"/>
              </w:rPr>
            </w:pPr>
            <w:r>
              <w:rPr>
                <w:rFonts w:hint="eastAsia" w:eastAsia="黑体"/>
                <w:color w:val="auto"/>
                <w:spacing w:val="-17"/>
                <w:sz w:val="22"/>
              </w:rPr>
              <w:t>责任部门</w:t>
            </w:r>
          </w:p>
        </w:tc>
        <w:tc>
          <w:tcPr>
            <w:tcW w:w="2490" w:type="dxa"/>
            <w:vAlign w:val="center"/>
          </w:tcPr>
          <w:p>
            <w:pPr>
              <w:topLinePunct/>
              <w:spacing w:line="260" w:lineRule="exact"/>
              <w:jc w:val="center"/>
              <w:rPr>
                <w:rFonts w:eastAsia="黑体"/>
                <w:color w:val="auto"/>
                <w:spacing w:val="-17"/>
                <w:sz w:val="22"/>
              </w:rPr>
            </w:pPr>
            <w:r>
              <w:rPr>
                <w:rFonts w:hint="eastAsia" w:eastAsia="黑体"/>
                <w:color w:val="auto"/>
                <w:spacing w:val="-17"/>
                <w:sz w:val="22"/>
              </w:rPr>
              <w:t>配合实施部门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660" w:type="dxa"/>
            <w:vMerge w:val="restart"/>
            <w:vAlign w:val="center"/>
          </w:tcPr>
          <w:p>
            <w:pPr>
              <w:topLinePunct/>
              <w:spacing w:line="260" w:lineRule="exact"/>
              <w:jc w:val="center"/>
              <w:rPr>
                <w:bCs/>
                <w:color w:val="auto"/>
                <w:spacing w:val="-17"/>
                <w:sz w:val="22"/>
              </w:rPr>
            </w:pPr>
            <w:r>
              <w:rPr>
                <w:rFonts w:hint="eastAsia"/>
                <w:bCs/>
                <w:color w:val="auto"/>
                <w:spacing w:val="-17"/>
                <w:sz w:val="22"/>
              </w:rPr>
              <w:t>一</w:t>
            </w:r>
          </w:p>
        </w:tc>
        <w:tc>
          <w:tcPr>
            <w:tcW w:w="975" w:type="dxa"/>
            <w:vMerge w:val="restart"/>
            <w:vAlign w:val="center"/>
          </w:tcPr>
          <w:p>
            <w:pPr>
              <w:topLinePunct/>
              <w:spacing w:line="260" w:lineRule="exact"/>
              <w:jc w:val="left"/>
              <w:rPr>
                <w:color w:val="auto"/>
                <w:spacing w:val="-17"/>
                <w:sz w:val="22"/>
              </w:rPr>
            </w:pPr>
            <w:r>
              <w:rPr>
                <w:rFonts w:hint="eastAsia"/>
                <w:color w:val="auto"/>
                <w:spacing w:val="-17"/>
                <w:sz w:val="22"/>
              </w:rPr>
              <w:t>以高质量发展为导向，开展更具目标性的引才活动</w:t>
            </w:r>
          </w:p>
        </w:tc>
        <w:tc>
          <w:tcPr>
            <w:tcW w:w="1020" w:type="dxa"/>
            <w:vMerge w:val="restart"/>
            <w:vAlign w:val="center"/>
          </w:tcPr>
          <w:p>
            <w:pPr>
              <w:topLinePunct/>
              <w:spacing w:line="260" w:lineRule="exact"/>
              <w:jc w:val="left"/>
              <w:rPr>
                <w:color w:val="auto"/>
                <w:spacing w:val="-17"/>
                <w:sz w:val="22"/>
              </w:rPr>
            </w:pPr>
            <w:r>
              <w:rPr>
                <w:rFonts w:hint="eastAsia"/>
                <w:color w:val="auto"/>
                <w:spacing w:val="-17"/>
                <w:sz w:val="22"/>
              </w:rPr>
              <w:t>1.“进企入校”叩门求才活动</w:t>
            </w:r>
          </w:p>
        </w:tc>
        <w:tc>
          <w:tcPr>
            <w:tcW w:w="7695" w:type="dxa"/>
            <w:vAlign w:val="center"/>
          </w:tcPr>
          <w:p>
            <w:pPr>
              <w:topLinePunct/>
              <w:spacing w:line="260" w:lineRule="exact"/>
              <w:rPr>
                <w:color w:val="auto"/>
                <w:spacing w:val="-17"/>
                <w:sz w:val="22"/>
              </w:rPr>
            </w:pPr>
            <w:r>
              <w:rPr>
                <w:rFonts w:hint="eastAsia"/>
                <w:color w:val="auto"/>
                <w:spacing w:val="-17"/>
                <w:sz w:val="22"/>
              </w:rPr>
              <w:t>发挥省高层次人才成果转化示范基地、院士专家工作站、创新研究院、产业发展论坛、专家教授铜川行等平台优势，开展“百企百校行”活动，进企入校，求才引智，3年内引入不少于100家国内知名高校院所（国企）、不少于100名国内外高端人才来铜对接合作、创业就业。</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市科技局</w:t>
            </w:r>
          </w:p>
          <w:p>
            <w:pPr>
              <w:topLinePunct/>
              <w:spacing w:line="260" w:lineRule="exact"/>
              <w:jc w:val="center"/>
              <w:rPr>
                <w:color w:val="auto"/>
                <w:spacing w:val="-17"/>
                <w:sz w:val="22"/>
              </w:rPr>
            </w:pPr>
            <w:r>
              <w:rPr>
                <w:rFonts w:hint="eastAsia"/>
                <w:color w:val="auto"/>
                <w:spacing w:val="-17"/>
                <w:sz w:val="22"/>
              </w:rPr>
              <w:t>市工信局</w:t>
            </w:r>
          </w:p>
          <w:p>
            <w:pPr>
              <w:topLinePunct/>
              <w:spacing w:line="260" w:lineRule="exact"/>
              <w:jc w:val="center"/>
              <w:rPr>
                <w:color w:val="auto"/>
                <w:spacing w:val="-17"/>
                <w:sz w:val="22"/>
              </w:rPr>
            </w:pPr>
            <w:r>
              <w:rPr>
                <w:rFonts w:hint="eastAsia"/>
                <w:color w:val="auto"/>
                <w:spacing w:val="-17"/>
                <w:sz w:val="22"/>
              </w:rPr>
              <w:t>市人社局</w:t>
            </w:r>
          </w:p>
          <w:p>
            <w:pPr>
              <w:topLinePunct/>
              <w:spacing w:line="260" w:lineRule="exact"/>
              <w:jc w:val="center"/>
              <w:rPr>
                <w:color w:val="auto"/>
                <w:spacing w:val="-17"/>
                <w:sz w:val="22"/>
              </w:rPr>
            </w:pPr>
            <w:r>
              <w:rPr>
                <w:rFonts w:hint="eastAsia"/>
                <w:color w:val="auto"/>
                <w:spacing w:val="-17"/>
                <w:sz w:val="22"/>
              </w:rPr>
              <w:t>市农业农村局</w:t>
            </w:r>
          </w:p>
          <w:p>
            <w:pPr>
              <w:topLinePunct/>
              <w:spacing w:line="260" w:lineRule="exact"/>
              <w:jc w:val="center"/>
              <w:rPr>
                <w:color w:val="auto"/>
                <w:spacing w:val="-17"/>
                <w:sz w:val="22"/>
              </w:rPr>
            </w:pPr>
            <w:r>
              <w:rPr>
                <w:rFonts w:hint="eastAsia"/>
                <w:color w:val="auto"/>
                <w:spacing w:val="-17"/>
                <w:sz w:val="22"/>
              </w:rPr>
              <w:t>市卫健委</w:t>
            </w:r>
          </w:p>
          <w:p>
            <w:pPr>
              <w:topLinePunct/>
              <w:spacing w:line="260" w:lineRule="exact"/>
              <w:jc w:val="center"/>
              <w:rPr>
                <w:color w:val="auto"/>
                <w:spacing w:val="-17"/>
                <w:sz w:val="22"/>
              </w:rPr>
            </w:pPr>
            <w:r>
              <w:rPr>
                <w:rFonts w:hint="eastAsia"/>
                <w:color w:val="auto"/>
                <w:spacing w:val="-17"/>
                <w:sz w:val="22"/>
              </w:rPr>
              <w:t>团市委</w:t>
            </w:r>
          </w:p>
          <w:p>
            <w:pPr>
              <w:topLinePunct/>
              <w:spacing w:line="260" w:lineRule="exact"/>
              <w:jc w:val="center"/>
              <w:rPr>
                <w:color w:val="auto"/>
                <w:spacing w:val="-17"/>
                <w:sz w:val="22"/>
              </w:rPr>
            </w:pPr>
            <w:r>
              <w:rPr>
                <w:rFonts w:hint="eastAsia"/>
                <w:color w:val="auto"/>
                <w:spacing w:val="-17"/>
                <w:sz w:val="22"/>
              </w:rPr>
              <w:t>市科协</w:t>
            </w:r>
          </w:p>
          <w:p>
            <w:pPr>
              <w:topLinePunct/>
              <w:spacing w:line="260" w:lineRule="exact"/>
              <w:jc w:val="center"/>
              <w:rPr>
                <w:color w:val="auto"/>
                <w:spacing w:val="-17"/>
                <w:sz w:val="22"/>
              </w:rPr>
            </w:pPr>
            <w:r>
              <w:rPr>
                <w:rFonts w:hint="eastAsia"/>
                <w:color w:val="auto"/>
                <w:spacing w:val="-17"/>
                <w:sz w:val="22"/>
              </w:rPr>
              <w:t>铜川职业技术学院</w:t>
            </w:r>
          </w:p>
        </w:tc>
        <w:tc>
          <w:tcPr>
            <w:tcW w:w="2490" w:type="dxa"/>
            <w:vAlign w:val="center"/>
          </w:tcPr>
          <w:p>
            <w:pPr>
              <w:topLinePunct/>
              <w:spacing w:line="260" w:lineRule="exact"/>
              <w:rPr>
                <w:color w:val="auto"/>
                <w:spacing w:val="-17"/>
                <w:sz w:val="22"/>
              </w:rPr>
            </w:pPr>
            <w:r>
              <w:rPr>
                <w:rFonts w:hint="eastAsia"/>
                <w:color w:val="auto"/>
                <w:spacing w:val="-17"/>
                <w:sz w:val="22"/>
              </w:rPr>
              <w:t>市委网信办、市发展改革委、市自然资源局、市文化和旅游局等市级相关部门，各市级工业园区、景区管委会，各区县委、政府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发挥高校人才工作联络站、高校学子访企、专场招聘会等平台优势，3年内引入不少于100名国内“双一流”高校毕业生来铜对接合作、创业就业。</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市人社局</w:t>
            </w:r>
          </w:p>
        </w:tc>
        <w:tc>
          <w:tcPr>
            <w:tcW w:w="2490" w:type="dxa"/>
            <w:vAlign w:val="center"/>
          </w:tcPr>
          <w:p>
            <w:pPr>
              <w:topLinePunct/>
              <w:spacing w:line="260" w:lineRule="exact"/>
              <w:rPr>
                <w:color w:val="auto"/>
                <w:spacing w:val="-17"/>
                <w:sz w:val="22"/>
              </w:rPr>
            </w:pPr>
            <w:r>
              <w:rPr>
                <w:rFonts w:hint="eastAsia"/>
                <w:color w:val="auto"/>
                <w:spacing w:val="-17"/>
                <w:sz w:val="22"/>
              </w:rPr>
              <w:t>市教育局，各区县委、政府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restart"/>
            <w:vAlign w:val="center"/>
          </w:tcPr>
          <w:p>
            <w:pPr>
              <w:topLinePunct/>
              <w:spacing w:line="260" w:lineRule="exact"/>
              <w:rPr>
                <w:color w:val="auto"/>
                <w:spacing w:val="-17"/>
                <w:sz w:val="22"/>
              </w:rPr>
            </w:pPr>
            <w:r>
              <w:rPr>
                <w:rFonts w:hint="eastAsia"/>
                <w:color w:val="auto"/>
                <w:spacing w:val="-17"/>
                <w:sz w:val="22"/>
              </w:rPr>
              <w:t>2.“高精尖特”靶向引才活动</w:t>
            </w:r>
          </w:p>
        </w:tc>
        <w:tc>
          <w:tcPr>
            <w:tcW w:w="7695" w:type="dxa"/>
            <w:vAlign w:val="center"/>
          </w:tcPr>
          <w:p>
            <w:pPr>
              <w:topLinePunct/>
              <w:spacing w:line="260" w:lineRule="exact"/>
              <w:rPr>
                <w:color w:val="auto"/>
                <w:spacing w:val="-17"/>
                <w:sz w:val="22"/>
              </w:rPr>
            </w:pPr>
            <w:r>
              <w:rPr>
                <w:rFonts w:hint="eastAsia"/>
                <w:color w:val="auto"/>
                <w:spacing w:val="-17"/>
                <w:sz w:val="22"/>
              </w:rPr>
              <w:t>教育、医疗卫生、农业等部门制定引才办法措施，完善引才工作机制，为所属事业单位引进优秀人才团队，借鉴、移植先进工作理念和管理模式。</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市教育局</w:t>
            </w:r>
          </w:p>
          <w:p>
            <w:pPr>
              <w:topLinePunct/>
              <w:spacing w:line="260" w:lineRule="exact"/>
              <w:jc w:val="center"/>
              <w:rPr>
                <w:color w:val="auto"/>
                <w:spacing w:val="-17"/>
                <w:sz w:val="22"/>
              </w:rPr>
            </w:pPr>
            <w:r>
              <w:rPr>
                <w:rFonts w:hint="eastAsia"/>
                <w:color w:val="auto"/>
                <w:spacing w:val="-17"/>
                <w:sz w:val="22"/>
              </w:rPr>
              <w:t>市农业农村局</w:t>
            </w:r>
          </w:p>
          <w:p>
            <w:pPr>
              <w:topLinePunct/>
              <w:spacing w:line="260" w:lineRule="exact"/>
              <w:jc w:val="center"/>
              <w:rPr>
                <w:color w:val="auto"/>
                <w:spacing w:val="-17"/>
                <w:sz w:val="22"/>
              </w:rPr>
            </w:pPr>
            <w:r>
              <w:rPr>
                <w:rFonts w:hint="eastAsia"/>
                <w:color w:val="auto"/>
                <w:spacing w:val="-17"/>
                <w:sz w:val="22"/>
              </w:rPr>
              <w:t>市卫健委</w:t>
            </w:r>
          </w:p>
        </w:tc>
        <w:tc>
          <w:tcPr>
            <w:tcW w:w="2490" w:type="dxa"/>
            <w:vAlign w:val="center"/>
          </w:tcPr>
          <w:p>
            <w:pPr>
              <w:topLinePunct/>
              <w:spacing w:line="260" w:lineRule="exact"/>
              <w:rPr>
                <w:color w:val="auto"/>
                <w:spacing w:val="-17"/>
                <w:sz w:val="22"/>
              </w:rPr>
            </w:pPr>
            <w:r>
              <w:rPr>
                <w:rFonts w:hint="eastAsia"/>
                <w:color w:val="auto"/>
                <w:spacing w:val="-17"/>
                <w:sz w:val="22"/>
              </w:rPr>
              <w:t>市委编办等市级相关部门，各区县委、政府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加大校地校企合作力度，支持用人单位通过技术引进和研发、聘请顾问指导等方式，灵活使用省内外人才智力资源，鼓励高端人才在铜兼职兼薪。每年通过刚性、柔性引才方式至少引进具有实质性科研成果、发明专利的“高精尖特”人才50名以上。</w:t>
            </w:r>
          </w:p>
        </w:tc>
        <w:tc>
          <w:tcPr>
            <w:tcW w:w="1710" w:type="dxa"/>
            <w:vAlign w:val="center"/>
          </w:tcPr>
          <w:p>
            <w:pPr>
              <w:topLinePunct/>
              <w:spacing w:line="260" w:lineRule="exact"/>
              <w:jc w:val="center"/>
              <w:rPr>
                <w:rFonts w:hint="eastAsia" w:ascii="Times New Roman" w:hAnsi="Times New Roman" w:cs="Times New Roman"/>
                <w:color w:val="auto"/>
                <w:spacing w:val="-17"/>
                <w:sz w:val="22"/>
              </w:rPr>
            </w:pPr>
            <w:r>
              <w:rPr>
                <w:rFonts w:hint="eastAsia" w:ascii="Times New Roman" w:hAnsi="Times New Roman" w:cs="Times New Roman"/>
                <w:color w:val="auto"/>
                <w:spacing w:val="-17"/>
                <w:sz w:val="22"/>
              </w:rPr>
              <w:t>各市级工业园区、景区</w:t>
            </w:r>
            <w:r>
              <w:rPr>
                <w:rFonts w:hint="eastAsia" w:ascii="Times New Roman" w:hAnsi="Times New Roman" w:cs="Times New Roman"/>
                <w:color w:val="auto"/>
                <w:spacing w:val="-17"/>
                <w:sz w:val="22"/>
                <w:lang w:eastAsia="zh-CN"/>
              </w:rPr>
              <w:t>管委会</w:t>
            </w:r>
          </w:p>
          <w:p>
            <w:pPr>
              <w:topLinePunct/>
              <w:spacing w:line="260" w:lineRule="exact"/>
              <w:jc w:val="center"/>
              <w:rPr>
                <w:rFonts w:hint="eastAsia" w:ascii="Times New Roman" w:hAnsi="Times New Roman" w:cs="Times New Roman"/>
                <w:color w:val="auto"/>
                <w:spacing w:val="-17"/>
                <w:sz w:val="22"/>
                <w:lang w:eastAsia="zh-CN"/>
              </w:rPr>
            </w:pPr>
            <w:r>
              <w:rPr>
                <w:rFonts w:hint="eastAsia" w:ascii="Times New Roman" w:hAnsi="Times New Roman" w:cs="Times New Roman"/>
                <w:color w:val="auto"/>
                <w:spacing w:val="-17"/>
                <w:sz w:val="22"/>
              </w:rPr>
              <w:t>各区县</w:t>
            </w:r>
            <w:r>
              <w:rPr>
                <w:rFonts w:hint="eastAsia" w:ascii="Times New Roman" w:hAnsi="Times New Roman" w:cs="Times New Roman"/>
                <w:color w:val="auto"/>
                <w:spacing w:val="-17"/>
                <w:sz w:val="22"/>
                <w:lang w:eastAsia="zh-CN"/>
              </w:rPr>
              <w:t>委、政府</w:t>
            </w:r>
          </w:p>
          <w:p>
            <w:pPr>
              <w:topLinePunct/>
              <w:spacing w:line="260" w:lineRule="exact"/>
              <w:jc w:val="center"/>
              <w:rPr>
                <w:color w:val="auto"/>
                <w:spacing w:val="-17"/>
                <w:sz w:val="22"/>
              </w:rPr>
            </w:pPr>
            <w:r>
              <w:rPr>
                <w:rFonts w:hint="eastAsia"/>
                <w:color w:val="auto"/>
                <w:spacing w:val="-17"/>
                <w:sz w:val="22"/>
              </w:rPr>
              <w:t>铜川职业技术学院</w:t>
            </w:r>
          </w:p>
        </w:tc>
        <w:tc>
          <w:tcPr>
            <w:tcW w:w="2490" w:type="dxa"/>
            <w:vAlign w:val="center"/>
          </w:tcPr>
          <w:p>
            <w:pPr>
              <w:topLinePunct/>
              <w:spacing w:line="260" w:lineRule="exact"/>
              <w:rPr>
                <w:color w:val="auto"/>
                <w:spacing w:val="-17"/>
                <w:sz w:val="22"/>
              </w:rPr>
            </w:pPr>
            <w:r>
              <w:rPr>
                <w:rFonts w:hint="eastAsia"/>
                <w:color w:val="auto"/>
                <w:spacing w:val="-17"/>
                <w:sz w:val="22"/>
              </w:rPr>
              <w:t>市级相关部门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聚焦重点企业人才需求，定期发布重点产业链企业人才需求目录，加大引才力度。</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市委组织部</w:t>
            </w:r>
          </w:p>
          <w:p>
            <w:pPr>
              <w:topLinePunct/>
              <w:spacing w:line="260" w:lineRule="exact"/>
              <w:jc w:val="center"/>
              <w:rPr>
                <w:color w:val="auto"/>
                <w:spacing w:val="-17"/>
                <w:sz w:val="22"/>
              </w:rPr>
            </w:pPr>
            <w:r>
              <w:rPr>
                <w:rFonts w:hint="eastAsia"/>
                <w:color w:val="auto"/>
                <w:spacing w:val="-17"/>
                <w:sz w:val="22"/>
              </w:rPr>
              <w:t>市人社局</w:t>
            </w:r>
          </w:p>
        </w:tc>
        <w:tc>
          <w:tcPr>
            <w:tcW w:w="2490" w:type="dxa"/>
            <w:vAlign w:val="center"/>
          </w:tcPr>
          <w:p>
            <w:pPr>
              <w:topLinePunct/>
              <w:spacing w:line="260" w:lineRule="exact"/>
              <w:rPr>
                <w:color w:val="auto"/>
                <w:spacing w:val="-17"/>
                <w:sz w:val="22"/>
              </w:rPr>
            </w:pPr>
            <w:r>
              <w:rPr>
                <w:rFonts w:hint="eastAsia"/>
                <w:color w:val="auto"/>
                <w:spacing w:val="-17"/>
                <w:sz w:val="22"/>
              </w:rPr>
              <w:t>各市级工业园区、景区管委会，各区县委、政府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建立“揭榜挂帅”引智机制，定期发榜，张榜公示，靶向引进“高精尖特”人才。</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市科技局</w:t>
            </w:r>
          </w:p>
        </w:tc>
        <w:tc>
          <w:tcPr>
            <w:tcW w:w="2490" w:type="dxa"/>
            <w:vAlign w:val="center"/>
          </w:tcPr>
          <w:p>
            <w:pPr>
              <w:topLinePunct/>
              <w:spacing w:line="260" w:lineRule="exact"/>
              <w:rPr>
                <w:color w:val="auto"/>
                <w:spacing w:val="-17"/>
                <w:sz w:val="22"/>
              </w:rPr>
            </w:pPr>
            <w:r>
              <w:rPr>
                <w:rFonts w:hint="eastAsia"/>
                <w:color w:val="auto"/>
                <w:spacing w:val="-17"/>
                <w:sz w:val="22"/>
              </w:rPr>
              <w:t>各市级工业园区、景区管委会，各区县委、政府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660" w:type="dxa"/>
            <w:vMerge w:val="restart"/>
            <w:vAlign w:val="center"/>
          </w:tcPr>
          <w:p>
            <w:pPr>
              <w:topLinePunct/>
              <w:spacing w:line="260" w:lineRule="exact"/>
              <w:jc w:val="center"/>
              <w:rPr>
                <w:bCs/>
                <w:color w:val="auto"/>
                <w:spacing w:val="-17"/>
                <w:sz w:val="22"/>
              </w:rPr>
            </w:pPr>
            <w:r>
              <w:rPr>
                <w:rFonts w:hint="eastAsia"/>
                <w:bCs/>
                <w:color w:val="auto"/>
                <w:spacing w:val="-17"/>
                <w:sz w:val="22"/>
              </w:rPr>
              <w:t>一</w:t>
            </w:r>
          </w:p>
        </w:tc>
        <w:tc>
          <w:tcPr>
            <w:tcW w:w="975" w:type="dxa"/>
            <w:vMerge w:val="restart"/>
            <w:vAlign w:val="center"/>
          </w:tcPr>
          <w:p>
            <w:pPr>
              <w:topLinePunct/>
              <w:spacing w:line="260" w:lineRule="exact"/>
              <w:rPr>
                <w:color w:val="auto"/>
                <w:spacing w:val="-17"/>
                <w:sz w:val="22"/>
              </w:rPr>
            </w:pPr>
            <w:r>
              <w:rPr>
                <w:rFonts w:hint="eastAsia"/>
                <w:color w:val="auto"/>
                <w:spacing w:val="-17"/>
                <w:sz w:val="22"/>
              </w:rPr>
              <w:t>以高质量发展为导向，开展更具目标性的引才活动</w:t>
            </w:r>
          </w:p>
        </w:tc>
        <w:tc>
          <w:tcPr>
            <w:tcW w:w="1020" w:type="dxa"/>
            <w:vAlign w:val="center"/>
          </w:tcPr>
          <w:p>
            <w:pPr>
              <w:topLinePunct/>
              <w:spacing w:line="260" w:lineRule="exact"/>
              <w:rPr>
                <w:color w:val="auto"/>
                <w:spacing w:val="-17"/>
                <w:sz w:val="22"/>
              </w:rPr>
            </w:pPr>
            <w:r>
              <w:rPr>
                <w:rFonts w:hint="eastAsia"/>
                <w:color w:val="auto"/>
                <w:spacing w:val="-17"/>
                <w:sz w:val="22"/>
              </w:rPr>
              <w:t>3.“共创共享”协同聚才活动</w:t>
            </w:r>
          </w:p>
        </w:tc>
        <w:tc>
          <w:tcPr>
            <w:tcW w:w="7695" w:type="dxa"/>
            <w:vAlign w:val="center"/>
          </w:tcPr>
          <w:p>
            <w:pPr>
              <w:topLinePunct/>
              <w:spacing w:line="260" w:lineRule="exact"/>
              <w:rPr>
                <w:color w:val="auto"/>
                <w:spacing w:val="-17"/>
                <w:sz w:val="22"/>
              </w:rPr>
            </w:pPr>
            <w:r>
              <w:rPr>
                <w:rFonts w:hint="eastAsia"/>
                <w:color w:val="auto"/>
                <w:spacing w:val="-17"/>
                <w:sz w:val="22"/>
              </w:rPr>
              <w:t>深化“一谷一院+两地”的秦创原铜川模式，加强供需对接，吸引更多科技成果落地转化，促进产学研深度融合，每年开展区域人才合作项目不少于15项，协同引进高层次人才不少于20名，共享科学技术成果不少于20项。</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市科技局</w:t>
            </w:r>
          </w:p>
        </w:tc>
        <w:tc>
          <w:tcPr>
            <w:tcW w:w="2490" w:type="dxa"/>
            <w:vAlign w:val="center"/>
          </w:tcPr>
          <w:p>
            <w:pPr>
              <w:topLinePunct/>
              <w:spacing w:line="260" w:lineRule="exact"/>
              <w:rPr>
                <w:color w:val="auto"/>
                <w:spacing w:val="-17"/>
                <w:sz w:val="22"/>
              </w:rPr>
            </w:pPr>
            <w:r>
              <w:rPr>
                <w:rFonts w:hint="eastAsia"/>
                <w:color w:val="auto"/>
                <w:spacing w:val="-17"/>
                <w:sz w:val="22"/>
              </w:rPr>
              <w:t>市级相关部门，各市级工业园区管委会，各区县委、政府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restart"/>
            <w:vAlign w:val="center"/>
          </w:tcPr>
          <w:p>
            <w:pPr>
              <w:topLinePunct/>
              <w:spacing w:line="260" w:lineRule="exact"/>
              <w:rPr>
                <w:color w:val="auto"/>
                <w:spacing w:val="-17"/>
                <w:sz w:val="22"/>
              </w:rPr>
            </w:pPr>
            <w:r>
              <w:rPr>
                <w:rFonts w:hint="eastAsia"/>
                <w:color w:val="auto"/>
                <w:spacing w:val="-17"/>
                <w:sz w:val="22"/>
              </w:rPr>
              <w:t>4.“双招双引”以商招才活动</w:t>
            </w:r>
          </w:p>
        </w:tc>
        <w:tc>
          <w:tcPr>
            <w:tcW w:w="7695" w:type="dxa"/>
            <w:vAlign w:val="center"/>
          </w:tcPr>
          <w:p>
            <w:pPr>
              <w:topLinePunct/>
              <w:spacing w:line="260" w:lineRule="exact"/>
              <w:rPr>
                <w:color w:val="auto"/>
                <w:spacing w:val="-17"/>
                <w:sz w:val="22"/>
              </w:rPr>
            </w:pPr>
            <w:r>
              <w:rPr>
                <w:rFonts w:hint="eastAsia"/>
                <w:color w:val="auto"/>
                <w:spacing w:val="-17"/>
                <w:sz w:val="22"/>
              </w:rPr>
              <w:t>围绕重点产业建设，同步推进招商引资与招才引智工作，加强部门间的沟通联系，定期互通信息，在招商引资过程中将各类项目、产业、企业、人才等扶持资助政策列入推荐宣介范围。每年通过招商引资同步引进人才至少20名。</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市对外经济</w:t>
            </w:r>
          </w:p>
          <w:p>
            <w:pPr>
              <w:topLinePunct/>
              <w:spacing w:line="260" w:lineRule="exact"/>
              <w:jc w:val="center"/>
              <w:rPr>
                <w:color w:val="auto"/>
                <w:spacing w:val="-17"/>
                <w:sz w:val="22"/>
              </w:rPr>
            </w:pPr>
            <w:r>
              <w:rPr>
                <w:rFonts w:hint="eastAsia"/>
                <w:color w:val="auto"/>
                <w:spacing w:val="-17"/>
                <w:sz w:val="22"/>
              </w:rPr>
              <w:t>合作中心</w:t>
            </w:r>
          </w:p>
        </w:tc>
        <w:tc>
          <w:tcPr>
            <w:tcW w:w="2490" w:type="dxa"/>
            <w:vAlign w:val="center"/>
          </w:tcPr>
          <w:p>
            <w:pPr>
              <w:topLinePunct/>
              <w:spacing w:line="260" w:lineRule="exact"/>
              <w:rPr>
                <w:color w:val="auto"/>
                <w:spacing w:val="-17"/>
                <w:sz w:val="22"/>
              </w:rPr>
            </w:pPr>
            <w:r>
              <w:rPr>
                <w:rFonts w:hint="eastAsia"/>
                <w:color w:val="auto"/>
                <w:spacing w:val="-17"/>
                <w:sz w:val="22"/>
              </w:rPr>
              <w:t>市商务局等市级相</w:t>
            </w:r>
            <w:bookmarkStart w:id="0" w:name="_GoBack"/>
            <w:bookmarkEnd w:id="0"/>
            <w:r>
              <w:rPr>
                <w:rFonts w:hint="eastAsia"/>
                <w:color w:val="auto"/>
                <w:spacing w:val="-17"/>
                <w:sz w:val="22"/>
              </w:rPr>
              <w:t>关部门，各市级工业园区、景区管委会，各区县委、政府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依托市政府驻外机构、商会、飞地等平台，设立10个左右驻外引才工作站，大力开展“双招双引”活动。</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市委组织部</w:t>
            </w:r>
          </w:p>
        </w:tc>
        <w:tc>
          <w:tcPr>
            <w:tcW w:w="2490" w:type="dxa"/>
            <w:vAlign w:val="center"/>
          </w:tcPr>
          <w:p>
            <w:pPr>
              <w:topLinePunct/>
              <w:spacing w:line="260" w:lineRule="exact"/>
              <w:rPr>
                <w:color w:val="auto"/>
                <w:spacing w:val="-17"/>
                <w:sz w:val="22"/>
              </w:rPr>
            </w:pPr>
            <w:r>
              <w:rPr>
                <w:rFonts w:hint="eastAsia"/>
                <w:color w:val="auto"/>
                <w:spacing w:val="-17"/>
                <w:sz w:val="22"/>
              </w:rPr>
              <w:t>市科技局、市政府各驻外机构、新区管委会、市工商联等市级相关部门，各市级工业园区、景区管委会，各区县委、政府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对落地的项目、企业、人才，全面落实现有各类支持补助奖励政策。</w:t>
            </w:r>
          </w:p>
        </w:tc>
        <w:tc>
          <w:tcPr>
            <w:tcW w:w="1710" w:type="dxa"/>
            <w:vAlign w:val="center"/>
          </w:tcPr>
          <w:p>
            <w:pPr>
              <w:topLinePunct/>
              <w:spacing w:line="260" w:lineRule="exact"/>
              <w:jc w:val="center"/>
              <w:rPr>
                <w:rFonts w:hint="eastAsia" w:ascii="Times New Roman" w:hAnsi="Times New Roman" w:cs="Times New Roman"/>
                <w:color w:val="auto"/>
                <w:spacing w:val="-17"/>
                <w:sz w:val="22"/>
              </w:rPr>
            </w:pPr>
            <w:r>
              <w:rPr>
                <w:rFonts w:hint="eastAsia" w:ascii="Times New Roman" w:hAnsi="Times New Roman" w:cs="Times New Roman"/>
                <w:color w:val="auto"/>
                <w:spacing w:val="-17"/>
                <w:sz w:val="22"/>
              </w:rPr>
              <w:t>市级相关部门</w:t>
            </w:r>
          </w:p>
          <w:p>
            <w:pPr>
              <w:topLinePunct/>
              <w:spacing w:line="260" w:lineRule="exact"/>
              <w:jc w:val="center"/>
              <w:rPr>
                <w:rFonts w:hint="eastAsia" w:ascii="Times New Roman" w:hAnsi="Times New Roman" w:cs="Times New Roman"/>
                <w:color w:val="auto"/>
                <w:spacing w:val="-17"/>
                <w:sz w:val="22"/>
              </w:rPr>
            </w:pPr>
            <w:r>
              <w:rPr>
                <w:rFonts w:hint="eastAsia" w:ascii="Times New Roman" w:hAnsi="Times New Roman" w:cs="Times New Roman"/>
                <w:color w:val="auto"/>
                <w:spacing w:val="-17"/>
                <w:sz w:val="22"/>
              </w:rPr>
              <w:t>各市级工业园区、景区管委会</w:t>
            </w:r>
          </w:p>
          <w:p>
            <w:pPr>
              <w:topLinePunct/>
              <w:spacing w:line="260" w:lineRule="exact"/>
              <w:jc w:val="center"/>
              <w:rPr>
                <w:rFonts w:hint="eastAsia" w:ascii="Times New Roman" w:hAnsi="Times New Roman" w:cs="Times New Roman"/>
                <w:color w:val="auto"/>
                <w:spacing w:val="-17"/>
                <w:sz w:val="22"/>
              </w:rPr>
            </w:pPr>
            <w:r>
              <w:rPr>
                <w:rFonts w:hint="eastAsia" w:ascii="Times New Roman" w:hAnsi="Times New Roman" w:cs="Times New Roman"/>
                <w:color w:val="auto"/>
                <w:spacing w:val="-17"/>
                <w:sz w:val="22"/>
              </w:rPr>
              <w:t>各区县委、政府</w:t>
            </w:r>
          </w:p>
        </w:tc>
        <w:tc>
          <w:tcPr>
            <w:tcW w:w="2490" w:type="dxa"/>
            <w:vAlign w:val="center"/>
          </w:tcPr>
          <w:p>
            <w:pPr>
              <w:topLinePunct/>
              <w:spacing w:line="260" w:lineRule="exact"/>
              <w:jc w:val="left"/>
              <w:rPr>
                <w:rFonts w:hint="eastAsia" w:ascii="Times New Roman" w:hAnsi="Times New Roman" w:cs="Times New Roman"/>
                <w:color w:val="auto"/>
                <w:spacing w:val="-17"/>
                <w:sz w:val="22"/>
              </w:rPr>
            </w:pPr>
            <w:r>
              <w:rPr>
                <w:rFonts w:hint="eastAsia" w:ascii="Times New Roman" w:hAnsi="Times New Roman" w:cs="Times New Roman"/>
                <w:color w:val="auto"/>
                <w:spacing w:val="-17"/>
                <w:sz w:val="22"/>
              </w:rPr>
              <w:t>市财政局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restart"/>
            <w:vAlign w:val="center"/>
          </w:tcPr>
          <w:p>
            <w:pPr>
              <w:topLinePunct/>
              <w:spacing w:line="260" w:lineRule="exact"/>
              <w:rPr>
                <w:color w:val="auto"/>
                <w:spacing w:val="-17"/>
                <w:sz w:val="22"/>
              </w:rPr>
            </w:pPr>
            <w:r>
              <w:rPr>
                <w:rFonts w:hint="eastAsia"/>
                <w:color w:val="auto"/>
                <w:spacing w:val="-17"/>
                <w:sz w:val="22"/>
              </w:rPr>
              <w:t>5.“情系家乡”人才回归活动</w:t>
            </w:r>
          </w:p>
        </w:tc>
        <w:tc>
          <w:tcPr>
            <w:tcW w:w="7695" w:type="dxa"/>
            <w:vAlign w:val="center"/>
          </w:tcPr>
          <w:p>
            <w:pPr>
              <w:topLinePunct/>
              <w:spacing w:line="260" w:lineRule="exact"/>
              <w:rPr>
                <w:color w:val="auto"/>
                <w:spacing w:val="-17"/>
                <w:sz w:val="22"/>
              </w:rPr>
            </w:pPr>
            <w:r>
              <w:rPr>
                <w:rFonts w:hint="eastAsia"/>
                <w:color w:val="auto"/>
                <w:spacing w:val="-17"/>
                <w:sz w:val="22"/>
              </w:rPr>
              <w:t>动态掌握铜川籍在外人才底数，及时完善铜川籍在外人才信息库，建设“乡贤人才数字地图”。</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市教育局</w:t>
            </w:r>
          </w:p>
          <w:p>
            <w:pPr>
              <w:topLinePunct/>
              <w:spacing w:line="260" w:lineRule="exact"/>
              <w:jc w:val="center"/>
              <w:rPr>
                <w:color w:val="auto"/>
                <w:spacing w:val="-17"/>
                <w:sz w:val="22"/>
              </w:rPr>
            </w:pPr>
            <w:r>
              <w:rPr>
                <w:rFonts w:hint="eastAsia"/>
                <w:color w:val="auto"/>
                <w:spacing w:val="-17"/>
                <w:sz w:val="22"/>
              </w:rPr>
              <w:t>市工商联</w:t>
            </w:r>
          </w:p>
        </w:tc>
        <w:tc>
          <w:tcPr>
            <w:tcW w:w="2490" w:type="dxa"/>
            <w:vAlign w:val="center"/>
          </w:tcPr>
          <w:p>
            <w:pPr>
              <w:topLinePunct/>
              <w:spacing w:line="260" w:lineRule="exact"/>
              <w:rPr>
                <w:color w:val="auto"/>
                <w:spacing w:val="-17"/>
                <w:sz w:val="22"/>
              </w:rPr>
            </w:pPr>
            <w:r>
              <w:rPr>
                <w:rFonts w:hint="eastAsia"/>
                <w:color w:val="auto"/>
                <w:spacing w:val="-17"/>
                <w:sz w:val="22"/>
              </w:rPr>
              <w:t>各市级工业园区、景区管委会，各区县委、政府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制定出台人才返乡创业优惠政策，设立各区县返乡创业示范园（基地），搭好返乡创业创新平台。</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市人社局</w:t>
            </w:r>
          </w:p>
        </w:tc>
        <w:tc>
          <w:tcPr>
            <w:tcW w:w="2490" w:type="dxa"/>
            <w:vAlign w:val="center"/>
          </w:tcPr>
          <w:p>
            <w:pPr>
              <w:topLinePunct/>
              <w:spacing w:line="260" w:lineRule="exact"/>
              <w:rPr>
                <w:color w:val="auto"/>
                <w:spacing w:val="-17"/>
                <w:sz w:val="22"/>
              </w:rPr>
            </w:pPr>
            <w:r>
              <w:rPr>
                <w:rFonts w:hint="eastAsia"/>
                <w:color w:val="auto"/>
                <w:spacing w:val="-17"/>
                <w:sz w:val="22"/>
              </w:rPr>
              <w:t>各市级工业园区、景区管委会，各区县委、政府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发挥铜川籍在外企业家人才优势，强化在外商会作用。每年举办铜川发展推介会等活动，定期邀请铜川籍专家、学者、教授、企业家、技能人才、创业者等人才就铜川发展组织开展研讨至少1次，吸引在外人才回铜创新创业。</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市工商联</w:t>
            </w:r>
          </w:p>
        </w:tc>
        <w:tc>
          <w:tcPr>
            <w:tcW w:w="2490" w:type="dxa"/>
            <w:vAlign w:val="center"/>
          </w:tcPr>
          <w:p>
            <w:pPr>
              <w:topLinePunct/>
              <w:spacing w:line="260" w:lineRule="exact"/>
              <w:rPr>
                <w:color w:val="auto"/>
                <w:spacing w:val="-17"/>
                <w:sz w:val="22"/>
              </w:rPr>
            </w:pPr>
            <w:r>
              <w:rPr>
                <w:rFonts w:hint="eastAsia"/>
                <w:color w:val="auto"/>
                <w:spacing w:val="-17"/>
                <w:sz w:val="22"/>
              </w:rPr>
              <w:t>团市委、市妇联、市科协，市贸促会、各市级工业园区、景区管委会，各区县委、政府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发挥铜川籍在外大学生等人才优势，强化在外校友会作用。每年召开铜川籍重点高校毕业生座谈会至少1场，鼓励在读博士、硕士研究生和本科生来铜开展社会实践。</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市教育局</w:t>
            </w:r>
          </w:p>
        </w:tc>
        <w:tc>
          <w:tcPr>
            <w:tcW w:w="2490" w:type="dxa"/>
            <w:vAlign w:val="center"/>
          </w:tcPr>
          <w:p>
            <w:pPr>
              <w:topLinePunct/>
              <w:spacing w:line="260" w:lineRule="exact"/>
              <w:rPr>
                <w:color w:val="auto"/>
                <w:spacing w:val="-17"/>
                <w:sz w:val="22"/>
              </w:rPr>
            </w:pPr>
            <w:r>
              <w:rPr>
                <w:rFonts w:hint="eastAsia"/>
                <w:color w:val="auto"/>
                <w:spacing w:val="-17"/>
                <w:sz w:val="22"/>
              </w:rPr>
              <w:t>各市级工业园区、景区管委会，各区县委、政府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660" w:type="dxa"/>
            <w:vMerge w:val="restart"/>
            <w:vAlign w:val="center"/>
          </w:tcPr>
          <w:p>
            <w:pPr>
              <w:topLinePunct/>
              <w:spacing w:line="260" w:lineRule="exact"/>
              <w:jc w:val="center"/>
              <w:rPr>
                <w:bCs/>
                <w:color w:val="auto"/>
                <w:spacing w:val="-17"/>
                <w:sz w:val="22"/>
              </w:rPr>
            </w:pPr>
            <w:r>
              <w:rPr>
                <w:rFonts w:hint="eastAsia"/>
                <w:bCs/>
                <w:color w:val="auto"/>
                <w:spacing w:val="-17"/>
                <w:sz w:val="22"/>
              </w:rPr>
              <w:t>二</w:t>
            </w:r>
          </w:p>
        </w:tc>
        <w:tc>
          <w:tcPr>
            <w:tcW w:w="975" w:type="dxa"/>
            <w:vMerge w:val="restart"/>
            <w:vAlign w:val="center"/>
          </w:tcPr>
          <w:p>
            <w:pPr>
              <w:topLinePunct/>
              <w:spacing w:line="260" w:lineRule="exact"/>
              <w:rPr>
                <w:color w:val="auto"/>
                <w:spacing w:val="-17"/>
                <w:sz w:val="22"/>
              </w:rPr>
            </w:pPr>
            <w:r>
              <w:rPr>
                <w:rFonts w:hint="eastAsia"/>
                <w:color w:val="auto"/>
                <w:spacing w:val="-17"/>
                <w:sz w:val="22"/>
              </w:rPr>
              <w:t>持续强化人才保障，实施更具针对性的育才工程</w:t>
            </w:r>
          </w:p>
        </w:tc>
        <w:tc>
          <w:tcPr>
            <w:tcW w:w="1020" w:type="dxa"/>
            <w:vMerge w:val="restart"/>
            <w:vAlign w:val="center"/>
          </w:tcPr>
          <w:p>
            <w:pPr>
              <w:topLinePunct/>
              <w:spacing w:line="260" w:lineRule="exact"/>
              <w:rPr>
                <w:color w:val="auto"/>
                <w:spacing w:val="-17"/>
                <w:sz w:val="22"/>
              </w:rPr>
            </w:pPr>
            <w:r>
              <w:rPr>
                <w:rFonts w:hint="eastAsia"/>
                <w:color w:val="auto"/>
                <w:spacing w:val="-17"/>
                <w:sz w:val="22"/>
              </w:rPr>
              <w:t>1.青年人才培育工程</w:t>
            </w:r>
          </w:p>
        </w:tc>
        <w:tc>
          <w:tcPr>
            <w:tcW w:w="7695" w:type="dxa"/>
            <w:vAlign w:val="center"/>
          </w:tcPr>
          <w:p>
            <w:pPr>
              <w:topLinePunct/>
              <w:spacing w:line="260" w:lineRule="exact"/>
              <w:rPr>
                <w:color w:val="auto"/>
                <w:spacing w:val="-17"/>
                <w:sz w:val="22"/>
              </w:rPr>
            </w:pPr>
            <w:r>
              <w:rPr>
                <w:rFonts w:hint="eastAsia"/>
                <w:color w:val="auto"/>
                <w:spacing w:val="-17"/>
                <w:sz w:val="22"/>
              </w:rPr>
              <w:t>强化对青年党政人才、青年科技人才、青年“双创”人才、青年技能人才的激励培养，大力开展“西部之光”访问学者、省级教学能手、学科带头人、教学名师、农业首席专家、科技特派员选派等育才工作，采取“师徒结对”“薪火传递”“导师帮带”等形式，培养打造青年人才队伍。</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市委组织部</w:t>
            </w:r>
          </w:p>
          <w:p>
            <w:pPr>
              <w:topLinePunct/>
              <w:spacing w:line="260" w:lineRule="exact"/>
              <w:jc w:val="center"/>
              <w:rPr>
                <w:color w:val="auto"/>
                <w:spacing w:val="-17"/>
                <w:sz w:val="22"/>
              </w:rPr>
            </w:pPr>
            <w:r>
              <w:rPr>
                <w:rFonts w:hint="eastAsia"/>
                <w:color w:val="auto"/>
                <w:spacing w:val="-17"/>
                <w:sz w:val="22"/>
              </w:rPr>
              <w:t>市教育局</w:t>
            </w:r>
          </w:p>
          <w:p>
            <w:pPr>
              <w:topLinePunct/>
              <w:spacing w:line="260" w:lineRule="exact"/>
              <w:jc w:val="center"/>
              <w:rPr>
                <w:color w:val="auto"/>
                <w:spacing w:val="-17"/>
                <w:sz w:val="22"/>
              </w:rPr>
            </w:pPr>
            <w:r>
              <w:rPr>
                <w:rFonts w:hint="eastAsia"/>
                <w:color w:val="auto"/>
                <w:spacing w:val="-17"/>
                <w:sz w:val="22"/>
              </w:rPr>
              <w:t>市科技局</w:t>
            </w:r>
          </w:p>
          <w:p>
            <w:pPr>
              <w:topLinePunct/>
              <w:spacing w:line="260" w:lineRule="exact"/>
              <w:jc w:val="center"/>
              <w:rPr>
                <w:color w:val="auto"/>
                <w:spacing w:val="-17"/>
                <w:sz w:val="22"/>
              </w:rPr>
            </w:pPr>
            <w:r>
              <w:rPr>
                <w:rFonts w:hint="eastAsia"/>
                <w:color w:val="auto"/>
                <w:spacing w:val="-17"/>
                <w:sz w:val="22"/>
              </w:rPr>
              <w:t>市人社局</w:t>
            </w:r>
          </w:p>
          <w:p>
            <w:pPr>
              <w:topLinePunct/>
              <w:spacing w:line="260" w:lineRule="exact"/>
              <w:jc w:val="center"/>
              <w:rPr>
                <w:color w:val="auto"/>
                <w:spacing w:val="-17"/>
                <w:sz w:val="22"/>
              </w:rPr>
            </w:pPr>
            <w:r>
              <w:rPr>
                <w:rFonts w:hint="eastAsia"/>
                <w:color w:val="auto"/>
                <w:spacing w:val="-17"/>
                <w:sz w:val="22"/>
              </w:rPr>
              <w:t>市农业农村局</w:t>
            </w:r>
          </w:p>
        </w:tc>
        <w:tc>
          <w:tcPr>
            <w:tcW w:w="2490" w:type="dxa"/>
            <w:vAlign w:val="center"/>
          </w:tcPr>
          <w:p>
            <w:pPr>
              <w:topLinePunct/>
              <w:spacing w:line="260" w:lineRule="exact"/>
              <w:rPr>
                <w:color w:val="auto"/>
                <w:spacing w:val="-17"/>
                <w:sz w:val="22"/>
              </w:rPr>
            </w:pPr>
            <w:r>
              <w:rPr>
                <w:rFonts w:hint="eastAsia"/>
                <w:color w:val="auto"/>
                <w:spacing w:val="-17"/>
                <w:sz w:val="22"/>
              </w:rPr>
              <w:t>市级相关部门，各区县委、政府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持续开展</w:t>
            </w:r>
            <w:r>
              <w:rPr>
                <w:rFonts w:hint="eastAsia"/>
                <w:color w:val="auto"/>
                <w:spacing w:val="-17"/>
                <w:sz w:val="22"/>
                <w:lang w:eastAsia="zh-CN"/>
              </w:rPr>
              <w:t>“</w:t>
            </w:r>
            <w:r>
              <w:rPr>
                <w:rFonts w:hint="eastAsia"/>
                <w:color w:val="auto"/>
                <w:spacing w:val="-17"/>
                <w:sz w:val="22"/>
              </w:rPr>
              <w:t>青年文明号</w:t>
            </w:r>
            <w:r>
              <w:rPr>
                <w:rFonts w:hint="eastAsia"/>
                <w:color w:val="auto"/>
                <w:spacing w:val="-17"/>
                <w:sz w:val="22"/>
                <w:lang w:eastAsia="zh-CN"/>
              </w:rPr>
              <w:t>”“</w:t>
            </w:r>
            <w:r>
              <w:rPr>
                <w:rFonts w:hint="eastAsia"/>
                <w:color w:val="auto"/>
                <w:spacing w:val="-17"/>
                <w:sz w:val="22"/>
              </w:rPr>
              <w:t>青年岗位能手</w:t>
            </w:r>
            <w:r>
              <w:rPr>
                <w:rFonts w:hint="eastAsia"/>
                <w:color w:val="auto"/>
                <w:spacing w:val="-17"/>
                <w:sz w:val="22"/>
                <w:lang w:eastAsia="zh-CN"/>
              </w:rPr>
              <w:t>”“</w:t>
            </w:r>
            <w:r>
              <w:rPr>
                <w:rFonts w:hint="eastAsia"/>
                <w:color w:val="auto"/>
                <w:spacing w:val="-17"/>
                <w:sz w:val="22"/>
              </w:rPr>
              <w:t>铜川好青年</w:t>
            </w:r>
            <w:r>
              <w:rPr>
                <w:rFonts w:hint="eastAsia"/>
                <w:color w:val="auto"/>
                <w:spacing w:val="-17"/>
                <w:sz w:val="22"/>
                <w:lang w:eastAsia="zh-CN"/>
              </w:rPr>
              <w:t>”</w:t>
            </w:r>
            <w:r>
              <w:rPr>
                <w:rFonts w:hint="eastAsia"/>
                <w:color w:val="auto"/>
                <w:spacing w:val="-17"/>
                <w:sz w:val="22"/>
              </w:rPr>
              <w:t>等评选工作，鼓励支持青年人才干事创业。</w:t>
            </w:r>
          </w:p>
        </w:tc>
        <w:tc>
          <w:tcPr>
            <w:tcW w:w="1710" w:type="dxa"/>
            <w:vAlign w:val="center"/>
          </w:tcPr>
          <w:p>
            <w:pPr>
              <w:topLinePunct/>
              <w:spacing w:line="260" w:lineRule="exact"/>
              <w:jc w:val="center"/>
              <w:rPr>
                <w:color w:val="auto"/>
                <w:spacing w:val="-17"/>
                <w:sz w:val="22"/>
              </w:rPr>
            </w:pPr>
            <w:r>
              <w:rPr>
                <w:rFonts w:hint="eastAsia"/>
                <w:color w:val="auto"/>
                <w:spacing w:val="-17"/>
                <w:sz w:val="22"/>
              </w:rPr>
              <w:t>团市委</w:t>
            </w:r>
          </w:p>
        </w:tc>
        <w:tc>
          <w:tcPr>
            <w:tcW w:w="2490" w:type="dxa"/>
            <w:vAlign w:val="center"/>
          </w:tcPr>
          <w:p>
            <w:pPr>
              <w:topLinePunct/>
              <w:spacing w:line="260" w:lineRule="exact"/>
              <w:rPr>
                <w:color w:val="auto"/>
                <w:spacing w:val="-17"/>
                <w:sz w:val="22"/>
              </w:rPr>
            </w:pPr>
            <w:r>
              <w:rPr>
                <w:rFonts w:hint="eastAsia"/>
                <w:color w:val="auto"/>
                <w:spacing w:val="-17"/>
                <w:sz w:val="22"/>
              </w:rPr>
              <w:t>市级相关部门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在</w:t>
            </w:r>
            <w:r>
              <w:rPr>
                <w:rFonts w:hint="eastAsia"/>
                <w:color w:val="auto"/>
                <w:spacing w:val="-17"/>
                <w:sz w:val="22"/>
                <w:lang w:eastAsia="zh-CN"/>
              </w:rPr>
              <w:t>“铜川</w:t>
            </w:r>
            <w:r>
              <w:rPr>
                <w:rFonts w:hint="eastAsia"/>
                <w:color w:val="auto"/>
                <w:spacing w:val="-17"/>
                <w:sz w:val="22"/>
              </w:rPr>
              <w:t>市有突出贡献拔尖人才</w:t>
            </w:r>
            <w:r>
              <w:rPr>
                <w:rFonts w:hint="eastAsia"/>
                <w:color w:val="auto"/>
                <w:spacing w:val="-17"/>
                <w:sz w:val="22"/>
                <w:lang w:eastAsia="zh-CN"/>
              </w:rPr>
              <w:t>”“</w:t>
            </w:r>
            <w:r>
              <w:rPr>
                <w:rFonts w:hint="eastAsia"/>
                <w:color w:val="auto"/>
                <w:spacing w:val="-17"/>
                <w:sz w:val="22"/>
              </w:rPr>
              <w:t>铜川工匠</w:t>
            </w:r>
            <w:r>
              <w:rPr>
                <w:rFonts w:hint="eastAsia"/>
                <w:color w:val="auto"/>
                <w:spacing w:val="-17"/>
                <w:sz w:val="22"/>
                <w:lang w:eastAsia="zh-CN"/>
              </w:rPr>
              <w:t>”“</w:t>
            </w:r>
            <w:r>
              <w:rPr>
                <w:rFonts w:hint="eastAsia"/>
                <w:color w:val="auto"/>
                <w:spacing w:val="-17"/>
                <w:sz w:val="22"/>
              </w:rPr>
              <w:t>最美科技工作者</w:t>
            </w:r>
            <w:r>
              <w:rPr>
                <w:rFonts w:hint="eastAsia"/>
                <w:color w:val="auto"/>
                <w:spacing w:val="-17"/>
                <w:sz w:val="22"/>
                <w:lang w:eastAsia="zh-CN"/>
              </w:rPr>
              <w:t>”</w:t>
            </w:r>
            <w:r>
              <w:rPr>
                <w:rFonts w:hint="eastAsia"/>
                <w:color w:val="auto"/>
                <w:spacing w:val="-17"/>
                <w:sz w:val="22"/>
              </w:rPr>
              <w:t>等市级人才评选及国家和省级人才项目、工程、计划推荐时，同等条件下向优秀青年人才倾斜，青年人才在评选中的占比不低于30%。</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市委组织部</w:t>
            </w:r>
          </w:p>
          <w:p>
            <w:pPr>
              <w:topLinePunct/>
              <w:spacing w:line="260" w:lineRule="exact"/>
              <w:jc w:val="center"/>
              <w:rPr>
                <w:color w:val="auto"/>
                <w:spacing w:val="-17"/>
                <w:sz w:val="22"/>
              </w:rPr>
            </w:pPr>
            <w:r>
              <w:rPr>
                <w:rFonts w:hint="eastAsia"/>
                <w:color w:val="auto"/>
                <w:spacing w:val="-17"/>
                <w:sz w:val="22"/>
              </w:rPr>
              <w:t>市人社局</w:t>
            </w:r>
          </w:p>
          <w:p>
            <w:pPr>
              <w:topLinePunct/>
              <w:spacing w:line="260" w:lineRule="exact"/>
              <w:jc w:val="center"/>
              <w:rPr>
                <w:color w:val="auto"/>
                <w:spacing w:val="-17"/>
                <w:sz w:val="22"/>
              </w:rPr>
            </w:pPr>
            <w:r>
              <w:rPr>
                <w:rFonts w:hint="eastAsia"/>
                <w:color w:val="auto"/>
                <w:spacing w:val="-17"/>
                <w:sz w:val="22"/>
              </w:rPr>
              <w:t>市总工会</w:t>
            </w:r>
          </w:p>
          <w:p>
            <w:pPr>
              <w:topLinePunct/>
              <w:spacing w:line="260" w:lineRule="exact"/>
              <w:jc w:val="center"/>
              <w:rPr>
                <w:color w:val="auto"/>
                <w:spacing w:val="-17"/>
                <w:sz w:val="22"/>
              </w:rPr>
            </w:pPr>
            <w:r>
              <w:rPr>
                <w:rFonts w:hint="eastAsia"/>
                <w:color w:val="auto"/>
                <w:spacing w:val="-17"/>
                <w:sz w:val="22"/>
              </w:rPr>
              <w:t>市科协</w:t>
            </w:r>
          </w:p>
        </w:tc>
        <w:tc>
          <w:tcPr>
            <w:tcW w:w="2490" w:type="dxa"/>
            <w:vAlign w:val="center"/>
          </w:tcPr>
          <w:p>
            <w:pPr>
              <w:topLinePunct/>
              <w:spacing w:line="260" w:lineRule="exact"/>
              <w:rPr>
                <w:color w:val="auto"/>
                <w:spacing w:val="-17"/>
                <w:sz w:val="22"/>
              </w:rPr>
            </w:pPr>
            <w:r>
              <w:rPr>
                <w:rFonts w:hint="eastAsia"/>
                <w:color w:val="auto"/>
                <w:spacing w:val="-17"/>
                <w:sz w:val="22"/>
              </w:rPr>
              <w:t>市级相关部门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restart"/>
            <w:vAlign w:val="center"/>
          </w:tcPr>
          <w:p>
            <w:pPr>
              <w:tabs>
                <w:tab w:val="left" w:pos="312"/>
              </w:tabs>
              <w:topLinePunct/>
              <w:spacing w:line="260" w:lineRule="exact"/>
              <w:rPr>
                <w:color w:val="auto"/>
                <w:spacing w:val="-17"/>
                <w:sz w:val="22"/>
              </w:rPr>
            </w:pPr>
            <w:r>
              <w:rPr>
                <w:rFonts w:hint="eastAsia"/>
                <w:color w:val="auto"/>
                <w:spacing w:val="-17"/>
                <w:sz w:val="22"/>
              </w:rPr>
              <w:t>2.专业人才培养工程</w:t>
            </w:r>
          </w:p>
        </w:tc>
        <w:tc>
          <w:tcPr>
            <w:tcW w:w="7695" w:type="dxa"/>
            <w:vAlign w:val="center"/>
          </w:tcPr>
          <w:p>
            <w:pPr>
              <w:topLinePunct/>
              <w:spacing w:line="260" w:lineRule="exact"/>
              <w:rPr>
                <w:color w:val="auto"/>
                <w:spacing w:val="-17"/>
                <w:sz w:val="22"/>
              </w:rPr>
            </w:pPr>
            <w:r>
              <w:rPr>
                <w:rFonts w:hint="eastAsia"/>
                <w:color w:val="auto"/>
                <w:spacing w:val="-17"/>
                <w:sz w:val="22"/>
              </w:rPr>
              <w:t>制定教育、医疗卫生、农业领域专业人才培养办法措施，切实做好优秀教师、医生、农业等专业技术人才的培养培训工作。</w:t>
            </w:r>
          </w:p>
        </w:tc>
        <w:tc>
          <w:tcPr>
            <w:tcW w:w="1710" w:type="dxa"/>
            <w:vMerge w:val="restart"/>
            <w:vAlign w:val="center"/>
          </w:tcPr>
          <w:p>
            <w:pPr>
              <w:topLinePunct/>
              <w:spacing w:line="260" w:lineRule="exact"/>
              <w:jc w:val="center"/>
              <w:rPr>
                <w:color w:val="auto"/>
                <w:spacing w:val="-17"/>
                <w:sz w:val="22"/>
              </w:rPr>
            </w:pPr>
            <w:r>
              <w:rPr>
                <w:rFonts w:hint="eastAsia"/>
                <w:color w:val="auto"/>
                <w:spacing w:val="-17"/>
                <w:sz w:val="22"/>
              </w:rPr>
              <w:t>市教育局</w:t>
            </w:r>
          </w:p>
          <w:p>
            <w:pPr>
              <w:topLinePunct/>
              <w:spacing w:line="260" w:lineRule="exact"/>
              <w:jc w:val="center"/>
              <w:rPr>
                <w:color w:val="auto"/>
                <w:spacing w:val="-17"/>
                <w:sz w:val="22"/>
              </w:rPr>
            </w:pPr>
            <w:r>
              <w:rPr>
                <w:rFonts w:hint="eastAsia"/>
                <w:color w:val="auto"/>
                <w:spacing w:val="-17"/>
                <w:sz w:val="22"/>
              </w:rPr>
              <w:t>市农业农村局</w:t>
            </w:r>
          </w:p>
          <w:p>
            <w:pPr>
              <w:topLinePunct/>
              <w:spacing w:line="260" w:lineRule="exact"/>
              <w:jc w:val="center"/>
              <w:rPr>
                <w:color w:val="auto"/>
                <w:spacing w:val="-17"/>
                <w:sz w:val="22"/>
              </w:rPr>
            </w:pPr>
            <w:r>
              <w:rPr>
                <w:rFonts w:hint="eastAsia"/>
                <w:color w:val="auto"/>
                <w:spacing w:val="-17"/>
                <w:sz w:val="22"/>
              </w:rPr>
              <w:t>市卫健委</w:t>
            </w:r>
          </w:p>
        </w:tc>
        <w:tc>
          <w:tcPr>
            <w:tcW w:w="2490" w:type="dxa"/>
            <w:vMerge w:val="restart"/>
            <w:vAlign w:val="center"/>
          </w:tcPr>
          <w:p>
            <w:pPr>
              <w:topLinePunct/>
              <w:spacing w:line="260" w:lineRule="exact"/>
              <w:rPr>
                <w:color w:val="auto"/>
                <w:spacing w:val="-17"/>
                <w:sz w:val="22"/>
              </w:rPr>
            </w:pPr>
            <w:r>
              <w:rPr>
                <w:rFonts w:hint="eastAsia"/>
                <w:color w:val="auto"/>
                <w:spacing w:val="-17"/>
                <w:sz w:val="22"/>
              </w:rPr>
              <w:t>市财政局等市级相关部门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abs>
                <w:tab w:val="left" w:pos="312"/>
              </w:tabs>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每年选派30名左右中青年业务骨干到省内外知名中小学、医院、科研院所等对口单位挂职锻炼或学习访问，重点提高人才业务能力水平。</w:t>
            </w:r>
          </w:p>
        </w:tc>
        <w:tc>
          <w:tcPr>
            <w:tcW w:w="1710" w:type="dxa"/>
            <w:vMerge w:val="continue"/>
            <w:vAlign w:val="center"/>
          </w:tcPr>
          <w:p>
            <w:pPr>
              <w:topLinePunct/>
              <w:spacing w:line="260" w:lineRule="exact"/>
              <w:jc w:val="center"/>
              <w:rPr>
                <w:color w:val="auto"/>
                <w:spacing w:val="-17"/>
                <w:sz w:val="22"/>
              </w:rPr>
            </w:pPr>
          </w:p>
        </w:tc>
        <w:tc>
          <w:tcPr>
            <w:tcW w:w="2490" w:type="dxa"/>
            <w:vMerge w:val="continue"/>
            <w:vAlign w:val="center"/>
          </w:tcPr>
          <w:p>
            <w:pPr>
              <w:topLinePunct/>
              <w:spacing w:line="260" w:lineRule="exact"/>
              <w:rPr>
                <w:color w:val="auto"/>
                <w:spacing w:val="-17"/>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设立铜川市优秀人才专项资金，定期组织评选表彰教育、医疗卫生、农业系统内的优秀人才。</w:t>
            </w:r>
          </w:p>
        </w:tc>
        <w:tc>
          <w:tcPr>
            <w:tcW w:w="1710" w:type="dxa"/>
            <w:vMerge w:val="continue"/>
            <w:vAlign w:val="center"/>
          </w:tcPr>
          <w:p>
            <w:pPr>
              <w:topLinePunct/>
              <w:spacing w:line="260" w:lineRule="exact"/>
              <w:jc w:val="center"/>
              <w:rPr>
                <w:color w:val="auto"/>
                <w:spacing w:val="-17"/>
                <w:sz w:val="22"/>
              </w:rPr>
            </w:pPr>
          </w:p>
        </w:tc>
        <w:tc>
          <w:tcPr>
            <w:tcW w:w="2490" w:type="dxa"/>
            <w:vMerge w:val="continue"/>
            <w:vAlign w:val="center"/>
          </w:tcPr>
          <w:p>
            <w:pPr>
              <w:topLinePunct/>
              <w:spacing w:line="260" w:lineRule="exact"/>
              <w:rPr>
                <w:color w:val="auto"/>
                <w:spacing w:val="-17"/>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建立完善教师、医生、农业人才梯队培养机制，以重点优秀人才为核心组建团队，开展科研创新、技术攻关、成果转化等工作，以点带面，示范引领。</w:t>
            </w:r>
          </w:p>
        </w:tc>
        <w:tc>
          <w:tcPr>
            <w:tcW w:w="1710" w:type="dxa"/>
            <w:vMerge w:val="continue"/>
            <w:vAlign w:val="center"/>
          </w:tcPr>
          <w:p>
            <w:pPr>
              <w:topLinePunct/>
              <w:spacing w:line="260" w:lineRule="exact"/>
              <w:jc w:val="center"/>
              <w:rPr>
                <w:color w:val="auto"/>
                <w:spacing w:val="-17"/>
                <w:sz w:val="22"/>
              </w:rPr>
            </w:pPr>
          </w:p>
        </w:tc>
        <w:tc>
          <w:tcPr>
            <w:tcW w:w="2490" w:type="dxa"/>
            <w:vMerge w:val="continue"/>
            <w:vAlign w:val="center"/>
          </w:tcPr>
          <w:p>
            <w:pPr>
              <w:topLinePunct/>
              <w:spacing w:line="260" w:lineRule="exact"/>
              <w:rPr>
                <w:color w:val="auto"/>
                <w:spacing w:val="-17"/>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restart"/>
            <w:vAlign w:val="center"/>
          </w:tcPr>
          <w:p>
            <w:pPr>
              <w:topLinePunct/>
              <w:spacing w:line="260" w:lineRule="exact"/>
              <w:rPr>
                <w:color w:val="auto"/>
                <w:spacing w:val="-17"/>
                <w:sz w:val="22"/>
              </w:rPr>
            </w:pPr>
            <w:r>
              <w:rPr>
                <w:rFonts w:hint="eastAsia"/>
                <w:color w:val="auto"/>
                <w:spacing w:val="-17"/>
                <w:sz w:val="22"/>
              </w:rPr>
              <w:t>3.技能人才提质工程</w:t>
            </w:r>
          </w:p>
        </w:tc>
        <w:tc>
          <w:tcPr>
            <w:tcW w:w="7695" w:type="dxa"/>
            <w:vAlign w:val="center"/>
          </w:tcPr>
          <w:p>
            <w:pPr>
              <w:topLinePunct/>
              <w:spacing w:line="260" w:lineRule="exact"/>
              <w:rPr>
                <w:color w:val="auto"/>
                <w:spacing w:val="-17"/>
                <w:sz w:val="22"/>
              </w:rPr>
            </w:pPr>
            <w:r>
              <w:rPr>
                <w:rFonts w:hint="eastAsia"/>
                <w:color w:val="auto"/>
                <w:spacing w:val="-17"/>
                <w:sz w:val="22"/>
              </w:rPr>
              <w:t>加大对产业人才、“双创”人才培育的倾斜力度，进一步强化高技能人才培养力度，3年内建立国家、省、市级技能大师工作室20个左右，高技能人才培训基地5个左右。</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市人社局</w:t>
            </w:r>
          </w:p>
        </w:tc>
        <w:tc>
          <w:tcPr>
            <w:tcW w:w="2490" w:type="dxa"/>
            <w:vAlign w:val="center"/>
          </w:tcPr>
          <w:p>
            <w:pPr>
              <w:topLinePunct/>
              <w:spacing w:line="260" w:lineRule="exact"/>
              <w:rPr>
                <w:color w:val="auto"/>
                <w:spacing w:val="-17"/>
                <w:sz w:val="22"/>
              </w:rPr>
            </w:pPr>
            <w:r>
              <w:rPr>
                <w:rFonts w:hint="eastAsia"/>
                <w:color w:val="auto"/>
                <w:spacing w:val="-17"/>
                <w:sz w:val="22"/>
              </w:rPr>
              <w:t>市级相关部门，各市级工业园区、景区管委会，各区县委、政府，铜川职业技术学院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大力发展技工教育，壮大产业技能工人队伍。</w:t>
            </w:r>
          </w:p>
        </w:tc>
        <w:tc>
          <w:tcPr>
            <w:tcW w:w="1710" w:type="dxa"/>
            <w:vAlign w:val="center"/>
          </w:tcPr>
          <w:p>
            <w:pPr>
              <w:topLinePunct/>
              <w:spacing w:line="260" w:lineRule="exact"/>
              <w:jc w:val="center"/>
              <w:rPr>
                <w:color w:val="auto"/>
                <w:spacing w:val="-17"/>
                <w:sz w:val="22"/>
              </w:rPr>
            </w:pPr>
            <w:r>
              <w:rPr>
                <w:rFonts w:hint="eastAsia"/>
                <w:color w:val="auto"/>
                <w:spacing w:val="-17"/>
                <w:sz w:val="22"/>
              </w:rPr>
              <w:t>铜川职业技术学院</w:t>
            </w:r>
          </w:p>
        </w:tc>
        <w:tc>
          <w:tcPr>
            <w:tcW w:w="2490" w:type="dxa"/>
            <w:vAlign w:val="center"/>
          </w:tcPr>
          <w:p>
            <w:pPr>
              <w:topLinePunct/>
              <w:spacing w:line="260" w:lineRule="exact"/>
              <w:rPr>
                <w:color w:val="auto"/>
                <w:spacing w:val="-17"/>
                <w:sz w:val="22"/>
              </w:rPr>
            </w:pPr>
            <w:r>
              <w:rPr>
                <w:rFonts w:hint="eastAsia"/>
                <w:color w:val="auto"/>
                <w:spacing w:val="-17"/>
                <w:sz w:val="22"/>
              </w:rPr>
              <w:t>市人社局等市级相关部门，各区县委、政府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持续实施“铜川工匠计划”，每年选拔“铜川工匠”“铜川市首席技师”“铜川传统工艺技术名师”分别不少于5名、“铜川市技术能手”不少于30名，带动广大技能劳动者成长成才。</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市人社局</w:t>
            </w:r>
          </w:p>
          <w:p>
            <w:pPr>
              <w:topLinePunct/>
              <w:spacing w:line="260" w:lineRule="exact"/>
              <w:jc w:val="center"/>
              <w:rPr>
                <w:color w:val="auto"/>
                <w:spacing w:val="-17"/>
                <w:sz w:val="22"/>
              </w:rPr>
            </w:pPr>
            <w:r>
              <w:rPr>
                <w:rFonts w:hint="eastAsia"/>
                <w:color w:val="auto"/>
                <w:spacing w:val="-17"/>
                <w:sz w:val="22"/>
              </w:rPr>
              <w:t>市总工会</w:t>
            </w:r>
          </w:p>
        </w:tc>
        <w:tc>
          <w:tcPr>
            <w:tcW w:w="2490" w:type="dxa"/>
            <w:vAlign w:val="center"/>
          </w:tcPr>
          <w:p>
            <w:pPr>
              <w:topLinePunct/>
              <w:spacing w:line="260" w:lineRule="exact"/>
              <w:rPr>
                <w:color w:val="auto"/>
                <w:spacing w:val="-17"/>
                <w:sz w:val="22"/>
              </w:rPr>
            </w:pPr>
            <w:r>
              <w:rPr>
                <w:rFonts w:hint="eastAsia"/>
                <w:color w:val="auto"/>
                <w:spacing w:val="-17"/>
                <w:sz w:val="22"/>
              </w:rPr>
              <w:t>市级相关部门，各市级工业园区、景区管委会，各区县委、政府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60" w:type="dxa"/>
            <w:vMerge w:val="restart"/>
            <w:vAlign w:val="center"/>
          </w:tcPr>
          <w:p>
            <w:pPr>
              <w:topLinePunct/>
              <w:spacing w:line="260" w:lineRule="exact"/>
              <w:jc w:val="center"/>
              <w:rPr>
                <w:bCs/>
                <w:color w:val="auto"/>
                <w:spacing w:val="-17"/>
                <w:sz w:val="22"/>
              </w:rPr>
            </w:pPr>
            <w:r>
              <w:rPr>
                <w:rFonts w:hint="eastAsia"/>
                <w:bCs/>
                <w:color w:val="auto"/>
                <w:spacing w:val="-17"/>
                <w:sz w:val="22"/>
              </w:rPr>
              <w:t>二</w:t>
            </w:r>
          </w:p>
        </w:tc>
        <w:tc>
          <w:tcPr>
            <w:tcW w:w="975" w:type="dxa"/>
            <w:vMerge w:val="restart"/>
            <w:vAlign w:val="center"/>
          </w:tcPr>
          <w:p>
            <w:pPr>
              <w:topLinePunct/>
              <w:spacing w:line="260" w:lineRule="exact"/>
              <w:rPr>
                <w:color w:val="auto"/>
                <w:spacing w:val="-17"/>
                <w:sz w:val="22"/>
              </w:rPr>
            </w:pPr>
            <w:r>
              <w:rPr>
                <w:rFonts w:hint="eastAsia"/>
                <w:color w:val="auto"/>
                <w:spacing w:val="-17"/>
                <w:sz w:val="22"/>
              </w:rPr>
              <w:t>持续强化人才保障，实施更具针对性的育才工程</w:t>
            </w:r>
          </w:p>
        </w:tc>
        <w:tc>
          <w:tcPr>
            <w:tcW w:w="1020" w:type="dxa"/>
            <w:vMerge w:val="restart"/>
            <w:vAlign w:val="center"/>
          </w:tcPr>
          <w:p>
            <w:pPr>
              <w:topLinePunct/>
              <w:spacing w:line="260" w:lineRule="exact"/>
              <w:rPr>
                <w:color w:val="auto"/>
                <w:spacing w:val="-17"/>
                <w:sz w:val="22"/>
              </w:rPr>
            </w:pPr>
            <w:r>
              <w:rPr>
                <w:rFonts w:hint="eastAsia"/>
                <w:color w:val="auto"/>
                <w:spacing w:val="-17"/>
                <w:sz w:val="22"/>
              </w:rPr>
              <w:t>4.乡村人才振兴工程</w:t>
            </w:r>
          </w:p>
        </w:tc>
        <w:tc>
          <w:tcPr>
            <w:tcW w:w="7695" w:type="dxa"/>
            <w:vAlign w:val="center"/>
          </w:tcPr>
          <w:p>
            <w:pPr>
              <w:topLinePunct/>
              <w:spacing w:line="260" w:lineRule="exact"/>
              <w:rPr>
                <w:color w:val="auto"/>
                <w:spacing w:val="-17"/>
                <w:sz w:val="22"/>
              </w:rPr>
            </w:pPr>
            <w:r>
              <w:rPr>
                <w:rFonts w:hint="eastAsia"/>
                <w:color w:val="auto"/>
                <w:spacing w:val="-17"/>
                <w:sz w:val="22"/>
              </w:rPr>
              <w:t>大力培育乡村产业人才、乡村公共服务人才、乡村治理人才、农业农村科技人才，充分发挥各类主体在乡村人才培养中的作用，每年培训各类乡村人才至少1000名。</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市农业农村局</w:t>
            </w:r>
          </w:p>
        </w:tc>
        <w:tc>
          <w:tcPr>
            <w:tcW w:w="2490" w:type="dxa"/>
            <w:vAlign w:val="center"/>
          </w:tcPr>
          <w:p>
            <w:pPr>
              <w:topLinePunct/>
              <w:spacing w:line="260" w:lineRule="exact"/>
              <w:rPr>
                <w:color w:val="auto"/>
                <w:spacing w:val="-17"/>
                <w:sz w:val="22"/>
              </w:rPr>
            </w:pPr>
            <w:r>
              <w:rPr>
                <w:rFonts w:hint="eastAsia"/>
                <w:color w:val="auto"/>
                <w:spacing w:val="-17"/>
                <w:sz w:val="22"/>
              </w:rPr>
              <w:t>市民政局、市人社局、市商务局、市文化和旅游局、市卫健委、市乡村振兴局等市</w:t>
            </w:r>
            <w:r>
              <w:rPr>
                <w:rFonts w:hint="eastAsia"/>
                <w:color w:val="auto"/>
                <w:spacing w:val="-23"/>
                <w:sz w:val="22"/>
              </w:rPr>
              <w:t>级相关部门，各区县委、政府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深化科技特派员制度，制定出台科技特派员管理措施，实现科技特派员乡村全覆盖，充分发挥科技特派员助力乡村振兴作用。支持建立农业技术推广团队，开展新产品、新技术研究推广应用，服务乡村经济。</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市科技局</w:t>
            </w:r>
          </w:p>
        </w:tc>
        <w:tc>
          <w:tcPr>
            <w:tcW w:w="2490" w:type="dxa"/>
            <w:vAlign w:val="center"/>
          </w:tcPr>
          <w:p>
            <w:pPr>
              <w:topLinePunct/>
              <w:spacing w:line="260" w:lineRule="exact"/>
              <w:rPr>
                <w:color w:val="auto"/>
                <w:spacing w:val="-20"/>
                <w:sz w:val="22"/>
              </w:rPr>
            </w:pPr>
            <w:r>
              <w:rPr>
                <w:rFonts w:hint="eastAsia"/>
                <w:color w:val="auto"/>
                <w:spacing w:val="-20"/>
                <w:sz w:val="22"/>
              </w:rPr>
              <w:t>市农业农村局、市乡村振兴局等市级相关部门，各区县委、政府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推进农村返乡创业园区、实训基地、创业孵化基地建设，3年内至少建立市级返乡创业园区、实训基地、创业孵化基地10个。</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市人社局</w:t>
            </w:r>
          </w:p>
        </w:tc>
        <w:tc>
          <w:tcPr>
            <w:tcW w:w="2490" w:type="dxa"/>
            <w:vAlign w:val="center"/>
          </w:tcPr>
          <w:p>
            <w:pPr>
              <w:topLinePunct/>
              <w:spacing w:line="260" w:lineRule="exact"/>
              <w:rPr>
                <w:color w:val="auto"/>
                <w:spacing w:val="-17"/>
                <w:sz w:val="22"/>
              </w:rPr>
            </w:pPr>
            <w:r>
              <w:rPr>
                <w:rFonts w:hint="eastAsia"/>
                <w:color w:val="auto"/>
                <w:spacing w:val="-17"/>
                <w:sz w:val="22"/>
              </w:rPr>
              <w:t>市农业农村局等市级相关部门，各区县委、政府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制定乡村振兴优秀人才表彰奖励办法，围绕强化农业高质量发展人才支撑，每年选拔30名左右市级乡村振兴优秀人才，给予表彰和奖励支持。</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市农业农村局</w:t>
            </w:r>
          </w:p>
        </w:tc>
        <w:tc>
          <w:tcPr>
            <w:tcW w:w="2490" w:type="dxa"/>
            <w:vAlign w:val="center"/>
          </w:tcPr>
          <w:p>
            <w:pPr>
              <w:topLinePunct/>
              <w:spacing w:line="260" w:lineRule="exact"/>
              <w:rPr>
                <w:color w:val="auto"/>
                <w:spacing w:val="-17"/>
                <w:sz w:val="22"/>
              </w:rPr>
            </w:pPr>
            <w:r>
              <w:rPr>
                <w:rFonts w:hint="eastAsia"/>
                <w:color w:val="auto"/>
                <w:spacing w:val="-17"/>
                <w:sz w:val="22"/>
              </w:rPr>
              <w:t>市乡村振兴局等市级相关部门，各区县委、政府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restart"/>
            <w:vAlign w:val="center"/>
          </w:tcPr>
          <w:p>
            <w:pPr>
              <w:topLinePunct/>
              <w:spacing w:line="260" w:lineRule="exact"/>
              <w:rPr>
                <w:color w:val="auto"/>
                <w:spacing w:val="-17"/>
                <w:sz w:val="22"/>
              </w:rPr>
            </w:pPr>
            <w:r>
              <w:rPr>
                <w:rFonts w:hint="eastAsia"/>
                <w:color w:val="auto"/>
                <w:spacing w:val="-17"/>
                <w:sz w:val="22"/>
              </w:rPr>
              <w:t>5.企业人才赋能工程</w:t>
            </w:r>
          </w:p>
        </w:tc>
        <w:tc>
          <w:tcPr>
            <w:tcW w:w="7695" w:type="dxa"/>
            <w:vAlign w:val="center"/>
          </w:tcPr>
          <w:p>
            <w:pPr>
              <w:topLinePunct/>
              <w:spacing w:line="260" w:lineRule="exact"/>
              <w:rPr>
                <w:color w:val="auto"/>
                <w:spacing w:val="-17"/>
                <w:sz w:val="22"/>
              </w:rPr>
            </w:pPr>
            <w:r>
              <w:rPr>
                <w:rFonts w:hint="eastAsia"/>
                <w:color w:val="auto"/>
                <w:spacing w:val="-17"/>
                <w:sz w:val="22"/>
              </w:rPr>
              <w:t>举办创新能力高级研修班，有计划、有重点组织企业家赴省内外知名高校研修学习，每年市级组织举办研修班不少于4期、各区县至少1期。</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市工信局</w:t>
            </w:r>
          </w:p>
          <w:p>
            <w:pPr>
              <w:topLinePunct/>
              <w:spacing w:line="260" w:lineRule="exact"/>
              <w:jc w:val="center"/>
              <w:rPr>
                <w:color w:val="auto"/>
                <w:spacing w:val="-17"/>
                <w:sz w:val="22"/>
              </w:rPr>
            </w:pPr>
            <w:r>
              <w:rPr>
                <w:rFonts w:hint="eastAsia"/>
                <w:color w:val="auto"/>
                <w:spacing w:val="-17"/>
                <w:sz w:val="22"/>
              </w:rPr>
              <w:t>市国资委</w:t>
            </w:r>
          </w:p>
          <w:p>
            <w:pPr>
              <w:pStyle w:val="10"/>
              <w:topLinePunct/>
              <w:spacing w:line="260" w:lineRule="exact"/>
              <w:ind w:firstLine="0" w:firstLineChars="0"/>
              <w:jc w:val="center"/>
              <w:rPr>
                <w:color w:val="auto"/>
                <w:spacing w:val="-17"/>
                <w:sz w:val="22"/>
              </w:rPr>
            </w:pPr>
            <w:r>
              <w:rPr>
                <w:rFonts w:hint="eastAsia"/>
                <w:color w:val="auto"/>
                <w:spacing w:val="-17"/>
                <w:sz w:val="22"/>
              </w:rPr>
              <w:t>各区县委、政府</w:t>
            </w:r>
          </w:p>
        </w:tc>
        <w:tc>
          <w:tcPr>
            <w:tcW w:w="2490" w:type="dxa"/>
            <w:vMerge w:val="restart"/>
            <w:vAlign w:val="center"/>
          </w:tcPr>
          <w:p>
            <w:pPr>
              <w:topLinePunct/>
              <w:spacing w:line="260" w:lineRule="exact"/>
              <w:rPr>
                <w:color w:val="auto"/>
                <w:spacing w:val="-17"/>
                <w:sz w:val="22"/>
              </w:rPr>
            </w:pPr>
            <w:r>
              <w:rPr>
                <w:rFonts w:hint="eastAsia"/>
                <w:color w:val="auto"/>
                <w:spacing w:val="-17"/>
                <w:sz w:val="22"/>
              </w:rPr>
              <w:t>市级相关部门，各区县委、政府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借</w:t>
            </w:r>
            <w:r>
              <w:rPr>
                <w:rFonts w:hint="eastAsia"/>
                <w:color w:val="auto"/>
                <w:spacing w:val="-22"/>
                <w:sz w:val="22"/>
              </w:rPr>
              <w:t>助盐铜对口帮扶平台，选派青年企业家赴盐城企业学习、挂职、考察、访问，每年不少于2期。</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市发展改革委</w:t>
            </w:r>
          </w:p>
        </w:tc>
        <w:tc>
          <w:tcPr>
            <w:tcW w:w="2490" w:type="dxa"/>
            <w:vMerge w:val="continue"/>
            <w:vAlign w:val="center"/>
          </w:tcPr>
          <w:p>
            <w:pPr>
              <w:topLinePunct/>
              <w:spacing w:line="260" w:lineRule="exact"/>
              <w:rPr>
                <w:color w:val="auto"/>
                <w:spacing w:val="-17"/>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定期召开政企座谈会、企业家讲堂、青年企业家沙龙，加强企业家队伍的思想政治建设，弘扬企业家精神，提升企业家综合素质能力。</w:t>
            </w:r>
          </w:p>
        </w:tc>
        <w:tc>
          <w:tcPr>
            <w:tcW w:w="1710" w:type="dxa"/>
            <w:vAlign w:val="center"/>
          </w:tcPr>
          <w:p>
            <w:pPr>
              <w:topLinePunct/>
              <w:spacing w:line="260" w:lineRule="exact"/>
              <w:jc w:val="center"/>
              <w:rPr>
                <w:color w:val="auto"/>
                <w:spacing w:val="-17"/>
                <w:sz w:val="21"/>
                <w:szCs w:val="21"/>
              </w:rPr>
            </w:pPr>
            <w:r>
              <w:rPr>
                <w:rFonts w:hint="eastAsia"/>
                <w:color w:val="auto"/>
                <w:spacing w:val="-17"/>
                <w:sz w:val="21"/>
                <w:szCs w:val="21"/>
              </w:rPr>
              <w:t>市工信局</w:t>
            </w:r>
          </w:p>
          <w:p>
            <w:pPr>
              <w:topLinePunct/>
              <w:spacing w:line="260" w:lineRule="exact"/>
              <w:jc w:val="center"/>
              <w:rPr>
                <w:color w:val="auto"/>
                <w:spacing w:val="-17"/>
                <w:sz w:val="21"/>
                <w:szCs w:val="21"/>
              </w:rPr>
            </w:pPr>
            <w:r>
              <w:rPr>
                <w:rFonts w:hint="eastAsia"/>
                <w:color w:val="auto"/>
                <w:spacing w:val="-17"/>
                <w:sz w:val="21"/>
                <w:szCs w:val="21"/>
              </w:rPr>
              <w:t>市商务局</w:t>
            </w:r>
          </w:p>
          <w:p>
            <w:pPr>
              <w:topLinePunct/>
              <w:spacing w:line="260" w:lineRule="exact"/>
              <w:jc w:val="center"/>
              <w:rPr>
                <w:color w:val="auto"/>
                <w:spacing w:val="-17"/>
                <w:sz w:val="21"/>
                <w:szCs w:val="21"/>
              </w:rPr>
            </w:pPr>
            <w:r>
              <w:rPr>
                <w:rFonts w:hint="eastAsia"/>
                <w:color w:val="auto"/>
                <w:spacing w:val="-17"/>
                <w:sz w:val="21"/>
                <w:szCs w:val="21"/>
              </w:rPr>
              <w:t>市国资委</w:t>
            </w:r>
          </w:p>
          <w:p>
            <w:pPr>
              <w:topLinePunct/>
              <w:spacing w:line="260" w:lineRule="exact"/>
              <w:jc w:val="center"/>
              <w:rPr>
                <w:color w:val="auto"/>
                <w:spacing w:val="-17"/>
                <w:sz w:val="22"/>
              </w:rPr>
            </w:pPr>
            <w:r>
              <w:rPr>
                <w:rFonts w:hint="eastAsia"/>
                <w:color w:val="auto"/>
                <w:spacing w:val="-17"/>
                <w:sz w:val="21"/>
                <w:szCs w:val="21"/>
              </w:rPr>
              <w:t>团市委</w:t>
            </w:r>
          </w:p>
        </w:tc>
        <w:tc>
          <w:tcPr>
            <w:tcW w:w="2490" w:type="dxa"/>
            <w:vMerge w:val="continue"/>
            <w:vAlign w:val="center"/>
          </w:tcPr>
          <w:p>
            <w:pPr>
              <w:topLinePunct/>
              <w:spacing w:line="260" w:lineRule="exact"/>
              <w:rPr>
                <w:color w:val="auto"/>
                <w:spacing w:val="-17"/>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vMerge w:val="restart"/>
            <w:vAlign w:val="center"/>
          </w:tcPr>
          <w:p>
            <w:pPr>
              <w:topLinePunct/>
              <w:spacing w:line="260" w:lineRule="exact"/>
              <w:jc w:val="center"/>
              <w:rPr>
                <w:bCs/>
                <w:color w:val="auto"/>
                <w:spacing w:val="-17"/>
                <w:sz w:val="22"/>
              </w:rPr>
            </w:pPr>
            <w:r>
              <w:rPr>
                <w:rFonts w:hint="eastAsia"/>
                <w:bCs/>
                <w:color w:val="auto"/>
                <w:spacing w:val="-17"/>
                <w:sz w:val="22"/>
              </w:rPr>
              <w:t>三</w:t>
            </w:r>
          </w:p>
        </w:tc>
        <w:tc>
          <w:tcPr>
            <w:tcW w:w="975" w:type="dxa"/>
            <w:vMerge w:val="restart"/>
            <w:vAlign w:val="center"/>
          </w:tcPr>
          <w:p>
            <w:pPr>
              <w:topLinePunct/>
              <w:spacing w:line="260" w:lineRule="exact"/>
              <w:rPr>
                <w:color w:val="auto"/>
                <w:spacing w:val="-17"/>
                <w:sz w:val="22"/>
              </w:rPr>
            </w:pPr>
            <w:r>
              <w:rPr>
                <w:rFonts w:hint="eastAsia"/>
                <w:color w:val="auto"/>
                <w:spacing w:val="-17"/>
                <w:sz w:val="22"/>
              </w:rPr>
              <w:t>激发各类人才创新活力，实行更具激励性的用才政策</w:t>
            </w:r>
          </w:p>
        </w:tc>
        <w:tc>
          <w:tcPr>
            <w:tcW w:w="1020" w:type="dxa"/>
            <w:vMerge w:val="restart"/>
            <w:vAlign w:val="center"/>
          </w:tcPr>
          <w:p>
            <w:pPr>
              <w:topLinePunct/>
              <w:spacing w:line="260" w:lineRule="exact"/>
              <w:rPr>
                <w:color w:val="auto"/>
                <w:spacing w:val="-17"/>
                <w:sz w:val="22"/>
              </w:rPr>
            </w:pPr>
            <w:r>
              <w:rPr>
                <w:rFonts w:hint="eastAsia"/>
                <w:color w:val="auto"/>
                <w:spacing w:val="-17"/>
                <w:sz w:val="22"/>
              </w:rPr>
              <w:t>1.加大科研资助力度</w:t>
            </w:r>
          </w:p>
        </w:tc>
        <w:tc>
          <w:tcPr>
            <w:tcW w:w="7695" w:type="dxa"/>
            <w:vAlign w:val="center"/>
          </w:tcPr>
          <w:p>
            <w:pPr>
              <w:topLinePunct/>
              <w:spacing w:line="260" w:lineRule="exact"/>
              <w:rPr>
                <w:color w:val="auto"/>
                <w:spacing w:val="-17"/>
                <w:sz w:val="22"/>
              </w:rPr>
            </w:pPr>
            <w:r>
              <w:rPr>
                <w:rFonts w:hint="eastAsia"/>
                <w:color w:val="auto"/>
                <w:spacing w:val="-17"/>
                <w:sz w:val="22"/>
              </w:rPr>
              <w:t>对在技术研发、课题攻关、项目合作等方面取得突出成效的企业，鼓励科技成果、专利技术在铜实施转化，根据产业化规模，提供最高20万元的人才科研项目资助资金。</w:t>
            </w:r>
          </w:p>
        </w:tc>
        <w:tc>
          <w:tcPr>
            <w:tcW w:w="1710" w:type="dxa"/>
            <w:vMerge w:val="restart"/>
            <w:vAlign w:val="center"/>
          </w:tcPr>
          <w:p>
            <w:pPr>
              <w:topLinePunct/>
              <w:spacing w:line="260" w:lineRule="exact"/>
              <w:jc w:val="center"/>
              <w:rPr>
                <w:color w:val="auto"/>
                <w:spacing w:val="-17"/>
                <w:sz w:val="22"/>
              </w:rPr>
            </w:pPr>
            <w:r>
              <w:rPr>
                <w:rFonts w:hint="eastAsia"/>
                <w:color w:val="auto"/>
                <w:spacing w:val="-17"/>
                <w:sz w:val="22"/>
              </w:rPr>
              <w:t>市科技局</w:t>
            </w:r>
          </w:p>
        </w:tc>
        <w:tc>
          <w:tcPr>
            <w:tcW w:w="2490" w:type="dxa"/>
            <w:vMerge w:val="restart"/>
            <w:vAlign w:val="center"/>
          </w:tcPr>
          <w:p>
            <w:pPr>
              <w:topLinePunct/>
              <w:spacing w:line="260" w:lineRule="exact"/>
              <w:rPr>
                <w:color w:val="auto"/>
                <w:spacing w:val="-17"/>
                <w:sz w:val="22"/>
              </w:rPr>
            </w:pPr>
            <w:r>
              <w:rPr>
                <w:rFonts w:hint="eastAsia"/>
                <w:color w:val="auto"/>
                <w:spacing w:val="-17"/>
                <w:sz w:val="22"/>
              </w:rPr>
              <w:t>市工信局、市财政局等市级相关部门，各区县委、政府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鼓励企业进行研发投入，在落实企业研发费用税前加计扣除等财税优惠政策的基础上，按上年度新增研发投入的10%给予补助奖励。</w:t>
            </w:r>
          </w:p>
        </w:tc>
        <w:tc>
          <w:tcPr>
            <w:tcW w:w="1710" w:type="dxa"/>
            <w:vMerge w:val="continue"/>
            <w:vAlign w:val="center"/>
          </w:tcPr>
          <w:p>
            <w:pPr>
              <w:topLinePunct/>
              <w:spacing w:line="260" w:lineRule="exact"/>
              <w:jc w:val="center"/>
              <w:rPr>
                <w:color w:val="auto"/>
                <w:spacing w:val="-17"/>
                <w:sz w:val="22"/>
              </w:rPr>
            </w:pPr>
          </w:p>
        </w:tc>
        <w:tc>
          <w:tcPr>
            <w:tcW w:w="2490" w:type="dxa"/>
            <w:vMerge w:val="continue"/>
            <w:vAlign w:val="center"/>
          </w:tcPr>
          <w:p>
            <w:pPr>
              <w:topLinePunct/>
              <w:spacing w:line="260" w:lineRule="exact"/>
              <w:rPr>
                <w:color w:val="auto"/>
                <w:spacing w:val="-17"/>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对当年入规的规模以上工业企业，根据《铜川市“五上”企业培育发展奖励实施意见》，给予最高30万元奖励。</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市发展改革委</w:t>
            </w:r>
          </w:p>
        </w:tc>
        <w:tc>
          <w:tcPr>
            <w:tcW w:w="2490" w:type="dxa"/>
            <w:vMerge w:val="continue"/>
            <w:vAlign w:val="center"/>
          </w:tcPr>
          <w:p>
            <w:pPr>
              <w:topLinePunct/>
              <w:spacing w:line="260" w:lineRule="exact"/>
              <w:rPr>
                <w:color w:val="auto"/>
                <w:spacing w:val="-17"/>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建立完善教育、医疗卫生、农业领域专业技术人才资助奖补办法，对在铜开展的研发成果转化获得省级以上奖励，并取得较大经济社会效益的，经上级主管部门认定审批后，每件给予最高5万元经费补助。</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市教育局</w:t>
            </w:r>
          </w:p>
          <w:p>
            <w:pPr>
              <w:topLinePunct/>
              <w:spacing w:line="260" w:lineRule="exact"/>
              <w:jc w:val="center"/>
              <w:rPr>
                <w:color w:val="auto"/>
                <w:spacing w:val="-17"/>
                <w:sz w:val="22"/>
              </w:rPr>
            </w:pPr>
            <w:r>
              <w:rPr>
                <w:rFonts w:hint="eastAsia"/>
                <w:color w:val="auto"/>
                <w:spacing w:val="-17"/>
                <w:sz w:val="22"/>
              </w:rPr>
              <w:t>市农业农村局</w:t>
            </w:r>
          </w:p>
          <w:p>
            <w:pPr>
              <w:topLinePunct/>
              <w:spacing w:line="260" w:lineRule="exact"/>
              <w:jc w:val="center"/>
              <w:rPr>
                <w:color w:val="auto"/>
                <w:spacing w:val="-17"/>
                <w:sz w:val="22"/>
              </w:rPr>
            </w:pPr>
            <w:r>
              <w:rPr>
                <w:rFonts w:hint="eastAsia"/>
                <w:color w:val="auto"/>
                <w:spacing w:val="-17"/>
                <w:sz w:val="22"/>
              </w:rPr>
              <w:t>市卫健委</w:t>
            </w:r>
          </w:p>
          <w:p>
            <w:pPr>
              <w:topLinePunct/>
              <w:spacing w:line="260" w:lineRule="exact"/>
              <w:jc w:val="center"/>
              <w:rPr>
                <w:color w:val="auto"/>
                <w:spacing w:val="-17"/>
                <w:sz w:val="22"/>
              </w:rPr>
            </w:pPr>
            <w:r>
              <w:rPr>
                <w:rFonts w:hint="eastAsia"/>
                <w:color w:val="auto"/>
                <w:spacing w:val="-17"/>
                <w:sz w:val="22"/>
              </w:rPr>
              <w:t>铜川职业技术学院</w:t>
            </w:r>
          </w:p>
        </w:tc>
        <w:tc>
          <w:tcPr>
            <w:tcW w:w="2490" w:type="dxa"/>
            <w:vAlign w:val="center"/>
          </w:tcPr>
          <w:p>
            <w:pPr>
              <w:topLinePunct/>
              <w:spacing w:line="260" w:lineRule="exact"/>
              <w:rPr>
                <w:color w:val="auto"/>
                <w:spacing w:val="-17"/>
                <w:sz w:val="22"/>
              </w:rPr>
            </w:pPr>
            <w:r>
              <w:rPr>
                <w:rFonts w:hint="eastAsia"/>
                <w:color w:val="auto"/>
                <w:spacing w:val="-17"/>
                <w:sz w:val="22"/>
              </w:rPr>
              <w:t>市财政局等市级相关部门，各区县委、政府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60" w:type="dxa"/>
            <w:vMerge w:val="restart"/>
            <w:vAlign w:val="center"/>
          </w:tcPr>
          <w:p>
            <w:pPr>
              <w:topLinePunct/>
              <w:spacing w:line="260" w:lineRule="exact"/>
              <w:jc w:val="center"/>
              <w:rPr>
                <w:bCs/>
                <w:color w:val="auto"/>
                <w:spacing w:val="-17"/>
                <w:sz w:val="22"/>
              </w:rPr>
            </w:pPr>
            <w:r>
              <w:rPr>
                <w:rFonts w:hint="eastAsia"/>
                <w:bCs/>
                <w:color w:val="auto"/>
                <w:spacing w:val="-17"/>
                <w:sz w:val="22"/>
              </w:rPr>
              <w:t>三</w:t>
            </w:r>
          </w:p>
        </w:tc>
        <w:tc>
          <w:tcPr>
            <w:tcW w:w="975" w:type="dxa"/>
            <w:vMerge w:val="restart"/>
            <w:vAlign w:val="center"/>
          </w:tcPr>
          <w:p>
            <w:pPr>
              <w:topLinePunct/>
              <w:spacing w:line="260" w:lineRule="exact"/>
              <w:rPr>
                <w:color w:val="auto"/>
                <w:spacing w:val="-17"/>
                <w:sz w:val="22"/>
              </w:rPr>
            </w:pPr>
            <w:r>
              <w:rPr>
                <w:rFonts w:hint="eastAsia"/>
                <w:color w:val="auto"/>
                <w:spacing w:val="-17"/>
                <w:sz w:val="22"/>
              </w:rPr>
              <w:t>激发各类人才创新活力，实行更具激励性的用才政策</w:t>
            </w:r>
          </w:p>
        </w:tc>
        <w:tc>
          <w:tcPr>
            <w:tcW w:w="1020" w:type="dxa"/>
            <w:vMerge w:val="restart"/>
            <w:vAlign w:val="center"/>
          </w:tcPr>
          <w:p>
            <w:pPr>
              <w:topLinePunct/>
              <w:spacing w:line="260" w:lineRule="exact"/>
              <w:rPr>
                <w:color w:val="auto"/>
                <w:spacing w:val="-17"/>
                <w:sz w:val="22"/>
              </w:rPr>
            </w:pPr>
            <w:r>
              <w:rPr>
                <w:rFonts w:hint="eastAsia"/>
                <w:color w:val="auto"/>
                <w:spacing w:val="-17"/>
                <w:sz w:val="22"/>
              </w:rPr>
              <w:t>2.强化创业支持力度</w:t>
            </w:r>
          </w:p>
        </w:tc>
        <w:tc>
          <w:tcPr>
            <w:tcW w:w="7695" w:type="dxa"/>
            <w:vAlign w:val="center"/>
          </w:tcPr>
          <w:p>
            <w:pPr>
              <w:topLinePunct/>
              <w:spacing w:line="260" w:lineRule="exact"/>
              <w:rPr>
                <w:color w:val="auto"/>
                <w:spacing w:val="-17"/>
                <w:sz w:val="22"/>
              </w:rPr>
            </w:pPr>
            <w:r>
              <w:rPr>
                <w:rFonts w:hint="eastAsia"/>
                <w:color w:val="auto"/>
                <w:spacing w:val="-17"/>
                <w:sz w:val="22"/>
              </w:rPr>
              <w:t>对进入园区、孵化器、众创空间的高层次人才的创新创业项目，经市级主管部门认定符合条件的，前3年房租全免，第4-5年评估达到预期效益的继续免租。</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市科技局</w:t>
            </w:r>
          </w:p>
          <w:p>
            <w:pPr>
              <w:topLinePunct/>
              <w:spacing w:line="260" w:lineRule="exact"/>
              <w:jc w:val="center"/>
              <w:rPr>
                <w:color w:val="auto"/>
                <w:spacing w:val="-17"/>
                <w:sz w:val="22"/>
              </w:rPr>
            </w:pPr>
            <w:r>
              <w:rPr>
                <w:rFonts w:hint="eastAsia"/>
                <w:color w:val="auto"/>
                <w:spacing w:val="-17"/>
                <w:sz w:val="22"/>
              </w:rPr>
              <w:t>市工信局</w:t>
            </w:r>
          </w:p>
          <w:p>
            <w:pPr>
              <w:topLinePunct/>
              <w:spacing w:line="260" w:lineRule="exact"/>
              <w:jc w:val="center"/>
              <w:rPr>
                <w:color w:val="auto"/>
                <w:spacing w:val="-17"/>
                <w:sz w:val="22"/>
              </w:rPr>
            </w:pPr>
            <w:r>
              <w:rPr>
                <w:rFonts w:hint="eastAsia"/>
                <w:color w:val="auto"/>
                <w:spacing w:val="-17"/>
                <w:sz w:val="22"/>
              </w:rPr>
              <w:t>市人社局</w:t>
            </w:r>
          </w:p>
        </w:tc>
        <w:tc>
          <w:tcPr>
            <w:tcW w:w="2490" w:type="dxa"/>
            <w:vAlign w:val="center"/>
          </w:tcPr>
          <w:p>
            <w:pPr>
              <w:topLinePunct/>
              <w:spacing w:line="260" w:lineRule="exact"/>
              <w:rPr>
                <w:color w:val="auto"/>
                <w:spacing w:val="-17"/>
                <w:sz w:val="22"/>
              </w:rPr>
            </w:pPr>
            <w:r>
              <w:rPr>
                <w:rFonts w:hint="eastAsia"/>
                <w:color w:val="auto"/>
                <w:spacing w:val="-17"/>
                <w:sz w:val="22"/>
              </w:rPr>
              <w:t>市财政局，各市级工业园区、景区管委会，各区县委、政府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8"/>
                <w:sz w:val="22"/>
              </w:rPr>
            </w:pPr>
            <w:r>
              <w:rPr>
                <w:rFonts w:hint="eastAsia" w:ascii="宋体" w:hAnsi="宋体"/>
                <w:color w:val="auto"/>
                <w:spacing w:val="-8"/>
                <w:sz w:val="22"/>
              </w:rPr>
              <w:t>对高层次人才创办的符合申请条件的小微企业其创业担保贷款最高限额提高至1000万元，财政部门承担300万元以内的贷款贴息，超出部分产生的利息，由企业自行承担，贷款期限最长不超过2年。</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市人社局</w:t>
            </w:r>
          </w:p>
        </w:tc>
        <w:tc>
          <w:tcPr>
            <w:tcW w:w="2490" w:type="dxa"/>
            <w:vAlign w:val="center"/>
          </w:tcPr>
          <w:p>
            <w:pPr>
              <w:topLinePunct/>
              <w:spacing w:line="260" w:lineRule="exact"/>
              <w:rPr>
                <w:color w:val="auto"/>
                <w:spacing w:val="-17"/>
                <w:sz w:val="22"/>
              </w:rPr>
            </w:pPr>
            <w:r>
              <w:rPr>
                <w:rFonts w:hint="eastAsia"/>
                <w:color w:val="auto"/>
                <w:spacing w:val="-17"/>
                <w:sz w:val="22"/>
              </w:rPr>
              <w:t>市财政局等市级相关部门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Align w:val="center"/>
          </w:tcPr>
          <w:p>
            <w:pPr>
              <w:topLinePunct/>
              <w:spacing w:line="260" w:lineRule="exact"/>
              <w:rPr>
                <w:color w:val="auto"/>
                <w:spacing w:val="-17"/>
                <w:sz w:val="22"/>
              </w:rPr>
            </w:pPr>
            <w:r>
              <w:rPr>
                <w:rFonts w:hint="eastAsia"/>
                <w:color w:val="auto"/>
                <w:spacing w:val="-17"/>
                <w:sz w:val="22"/>
              </w:rPr>
              <w:t>3.增强人才奖励力度</w:t>
            </w:r>
          </w:p>
        </w:tc>
        <w:tc>
          <w:tcPr>
            <w:tcW w:w="7695" w:type="dxa"/>
            <w:vAlign w:val="center"/>
          </w:tcPr>
          <w:p>
            <w:pPr>
              <w:topLinePunct/>
              <w:spacing w:line="260" w:lineRule="exact"/>
              <w:rPr>
                <w:color w:val="auto"/>
                <w:spacing w:val="-20"/>
                <w:sz w:val="22"/>
              </w:rPr>
            </w:pPr>
            <w:r>
              <w:rPr>
                <w:rFonts w:hint="eastAsia"/>
                <w:color w:val="auto"/>
                <w:spacing w:val="-20"/>
                <w:sz w:val="22"/>
              </w:rPr>
              <w:t>引进的高层次人才团队（个人），在铜工作期间获得国家级、省部级科学技术奖的，给予1:1配套奖励，获得国家科学技术进步奖特等奖的给予150万元奖励，一、二等奖的分别给予30万元、15万元奖励，获得省部级科学技术进步奖一、二等奖的，分别给予20万元、5万元奖励。</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市科技局</w:t>
            </w:r>
          </w:p>
        </w:tc>
        <w:tc>
          <w:tcPr>
            <w:tcW w:w="2490" w:type="dxa"/>
            <w:vAlign w:val="center"/>
          </w:tcPr>
          <w:p>
            <w:pPr>
              <w:topLinePunct/>
              <w:spacing w:line="260" w:lineRule="exact"/>
              <w:rPr>
                <w:color w:val="auto"/>
                <w:spacing w:val="-17"/>
                <w:sz w:val="22"/>
              </w:rPr>
            </w:pPr>
            <w:r>
              <w:rPr>
                <w:rFonts w:hint="eastAsia"/>
                <w:color w:val="auto"/>
                <w:spacing w:val="-17"/>
                <w:sz w:val="22"/>
              </w:rPr>
              <w:t>市财政局等市级相关部门，各区县委、政府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restart"/>
            <w:vAlign w:val="center"/>
          </w:tcPr>
          <w:p>
            <w:pPr>
              <w:topLinePunct/>
              <w:spacing w:line="260" w:lineRule="exact"/>
              <w:rPr>
                <w:color w:val="auto"/>
                <w:spacing w:val="-17"/>
                <w:sz w:val="22"/>
              </w:rPr>
            </w:pPr>
            <w:r>
              <w:rPr>
                <w:rFonts w:hint="eastAsia"/>
                <w:color w:val="auto"/>
                <w:spacing w:val="-17"/>
                <w:sz w:val="22"/>
              </w:rPr>
              <w:t>4.提升引才激励力度</w:t>
            </w:r>
          </w:p>
        </w:tc>
        <w:tc>
          <w:tcPr>
            <w:tcW w:w="7695" w:type="dxa"/>
            <w:vAlign w:val="center"/>
          </w:tcPr>
          <w:p>
            <w:pPr>
              <w:topLinePunct/>
              <w:spacing w:line="260" w:lineRule="exact"/>
              <w:rPr>
                <w:color w:val="auto"/>
                <w:spacing w:val="-12"/>
                <w:sz w:val="22"/>
              </w:rPr>
            </w:pPr>
            <w:r>
              <w:rPr>
                <w:rFonts w:hint="eastAsia"/>
                <w:color w:val="auto"/>
                <w:spacing w:val="-12"/>
                <w:sz w:val="22"/>
              </w:rPr>
              <w:t>鼓励帮助企业、单位申报省级院士工作站，申报成功并正常开展工作的，在省级资助基础上，市级再给予最高20万元资助资金。</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市科协</w:t>
            </w:r>
          </w:p>
        </w:tc>
        <w:tc>
          <w:tcPr>
            <w:tcW w:w="2490" w:type="dxa"/>
            <w:vAlign w:val="center"/>
          </w:tcPr>
          <w:p>
            <w:pPr>
              <w:topLinePunct/>
              <w:spacing w:line="260" w:lineRule="exact"/>
              <w:rPr>
                <w:color w:val="auto"/>
                <w:spacing w:val="-17"/>
                <w:sz w:val="22"/>
              </w:rPr>
            </w:pPr>
            <w:r>
              <w:rPr>
                <w:rFonts w:hint="eastAsia"/>
                <w:color w:val="auto"/>
                <w:spacing w:val="-17"/>
                <w:sz w:val="22"/>
              </w:rPr>
              <w:t>市财政局，各市级工业园区管委会，各区县委、政府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市级重点产业链企业及学校、医院、科研院所、职业院校，1年内刚性引进博士研究生1名以上或硕士研究生3名以上或“双一流”高校本科生5名以上、签订3年期以上劳动合同并正常缴纳社会保险的，给予用人单位5万元奖励，1年内柔性引进高层次人才10名以上的，给予用人单位3万元奖励。</w:t>
            </w:r>
          </w:p>
        </w:tc>
        <w:tc>
          <w:tcPr>
            <w:tcW w:w="1710" w:type="dxa"/>
            <w:vAlign w:val="center"/>
          </w:tcPr>
          <w:p>
            <w:pPr>
              <w:topLinePunct/>
              <w:spacing w:line="240" w:lineRule="exact"/>
              <w:jc w:val="center"/>
              <w:rPr>
                <w:color w:val="auto"/>
                <w:spacing w:val="-17"/>
                <w:sz w:val="22"/>
              </w:rPr>
            </w:pPr>
            <w:r>
              <w:rPr>
                <w:rFonts w:hint="eastAsia"/>
                <w:color w:val="auto"/>
                <w:spacing w:val="-17"/>
                <w:sz w:val="22"/>
              </w:rPr>
              <w:t>市教育局</w:t>
            </w:r>
          </w:p>
          <w:p>
            <w:pPr>
              <w:topLinePunct/>
              <w:spacing w:line="240" w:lineRule="exact"/>
              <w:jc w:val="center"/>
              <w:rPr>
                <w:color w:val="auto"/>
                <w:spacing w:val="-17"/>
                <w:sz w:val="22"/>
              </w:rPr>
            </w:pPr>
            <w:r>
              <w:rPr>
                <w:rFonts w:hint="eastAsia"/>
                <w:color w:val="auto"/>
                <w:spacing w:val="-17"/>
                <w:sz w:val="22"/>
              </w:rPr>
              <w:t>市人社局</w:t>
            </w:r>
          </w:p>
          <w:p>
            <w:pPr>
              <w:topLinePunct/>
              <w:spacing w:line="240" w:lineRule="exact"/>
              <w:jc w:val="center"/>
              <w:rPr>
                <w:color w:val="auto"/>
                <w:spacing w:val="-17"/>
                <w:sz w:val="22"/>
              </w:rPr>
            </w:pPr>
            <w:r>
              <w:rPr>
                <w:rFonts w:hint="eastAsia"/>
                <w:color w:val="auto"/>
                <w:spacing w:val="-17"/>
                <w:sz w:val="22"/>
              </w:rPr>
              <w:t>市农业农村局</w:t>
            </w:r>
          </w:p>
          <w:p>
            <w:pPr>
              <w:topLinePunct/>
              <w:spacing w:line="240" w:lineRule="exact"/>
              <w:jc w:val="center"/>
              <w:rPr>
                <w:color w:val="auto"/>
                <w:spacing w:val="-17"/>
                <w:sz w:val="22"/>
              </w:rPr>
            </w:pPr>
            <w:r>
              <w:rPr>
                <w:rFonts w:hint="eastAsia"/>
                <w:color w:val="auto"/>
                <w:spacing w:val="-17"/>
                <w:sz w:val="22"/>
              </w:rPr>
              <w:t>市卫健委</w:t>
            </w:r>
          </w:p>
          <w:p>
            <w:pPr>
              <w:topLinePunct/>
              <w:spacing w:line="240" w:lineRule="exact"/>
              <w:jc w:val="center"/>
              <w:rPr>
                <w:rFonts w:hint="eastAsia"/>
                <w:color w:val="auto"/>
                <w:spacing w:val="-17"/>
                <w:sz w:val="22"/>
              </w:rPr>
            </w:pPr>
            <w:r>
              <w:rPr>
                <w:rFonts w:hint="eastAsia"/>
                <w:color w:val="auto"/>
                <w:spacing w:val="-17"/>
                <w:sz w:val="22"/>
              </w:rPr>
              <w:t>各市级工业园区、景区管委会</w:t>
            </w:r>
          </w:p>
          <w:p>
            <w:pPr>
              <w:topLinePunct/>
              <w:spacing w:line="240" w:lineRule="exact"/>
              <w:jc w:val="center"/>
              <w:rPr>
                <w:color w:val="auto"/>
                <w:spacing w:val="-17"/>
                <w:sz w:val="22"/>
              </w:rPr>
            </w:pPr>
            <w:r>
              <w:rPr>
                <w:rFonts w:hint="eastAsia"/>
                <w:color w:val="auto"/>
                <w:spacing w:val="-17"/>
                <w:sz w:val="22"/>
              </w:rPr>
              <w:t>铜川职业技术学院</w:t>
            </w:r>
          </w:p>
        </w:tc>
        <w:tc>
          <w:tcPr>
            <w:tcW w:w="2490" w:type="dxa"/>
            <w:vAlign w:val="center"/>
          </w:tcPr>
          <w:p>
            <w:pPr>
              <w:topLinePunct/>
              <w:spacing w:line="260" w:lineRule="exact"/>
              <w:rPr>
                <w:color w:val="auto"/>
                <w:spacing w:val="-17"/>
                <w:sz w:val="22"/>
              </w:rPr>
            </w:pPr>
            <w:r>
              <w:rPr>
                <w:rFonts w:hint="eastAsia"/>
                <w:color w:val="auto"/>
                <w:spacing w:val="-17"/>
                <w:sz w:val="22"/>
              </w:rPr>
              <w:t>市财政局等市级相关部门，各区县委、政府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60" w:type="dxa"/>
            <w:vMerge w:val="restart"/>
            <w:vAlign w:val="center"/>
          </w:tcPr>
          <w:p>
            <w:pPr>
              <w:topLinePunct/>
              <w:spacing w:line="260" w:lineRule="exact"/>
              <w:jc w:val="center"/>
              <w:rPr>
                <w:bCs/>
                <w:color w:val="auto"/>
                <w:spacing w:val="-17"/>
                <w:sz w:val="22"/>
              </w:rPr>
            </w:pPr>
            <w:r>
              <w:rPr>
                <w:rFonts w:hint="eastAsia"/>
                <w:bCs/>
                <w:color w:val="auto"/>
                <w:spacing w:val="-17"/>
                <w:sz w:val="22"/>
              </w:rPr>
              <w:t>四</w:t>
            </w:r>
          </w:p>
        </w:tc>
        <w:tc>
          <w:tcPr>
            <w:tcW w:w="975" w:type="dxa"/>
            <w:vMerge w:val="restart"/>
            <w:vAlign w:val="center"/>
          </w:tcPr>
          <w:p>
            <w:pPr>
              <w:topLinePunct/>
              <w:spacing w:line="260" w:lineRule="exact"/>
              <w:rPr>
                <w:color w:val="auto"/>
                <w:spacing w:val="-17"/>
                <w:sz w:val="22"/>
              </w:rPr>
            </w:pPr>
            <w:r>
              <w:rPr>
                <w:rFonts w:hint="eastAsia"/>
                <w:color w:val="auto"/>
                <w:spacing w:val="-17"/>
                <w:sz w:val="22"/>
              </w:rPr>
              <w:t>打造“铜心办”人才服务平台，营造更具吸引力的留才环境</w:t>
            </w:r>
          </w:p>
        </w:tc>
        <w:tc>
          <w:tcPr>
            <w:tcW w:w="1020" w:type="dxa"/>
            <w:vMerge w:val="restart"/>
            <w:vAlign w:val="center"/>
          </w:tcPr>
          <w:p>
            <w:pPr>
              <w:topLinePunct/>
              <w:spacing w:line="260" w:lineRule="exact"/>
              <w:rPr>
                <w:color w:val="auto"/>
                <w:spacing w:val="-17"/>
                <w:sz w:val="22"/>
              </w:rPr>
            </w:pPr>
            <w:r>
              <w:rPr>
                <w:rFonts w:hint="eastAsia"/>
                <w:color w:val="auto"/>
                <w:spacing w:val="-17"/>
                <w:sz w:val="22"/>
              </w:rPr>
              <w:t>1.优化编制周转池资源调配功能</w:t>
            </w:r>
          </w:p>
        </w:tc>
        <w:tc>
          <w:tcPr>
            <w:tcW w:w="7695" w:type="dxa"/>
            <w:vAlign w:val="center"/>
          </w:tcPr>
          <w:p>
            <w:pPr>
              <w:topLinePunct/>
              <w:spacing w:line="260" w:lineRule="exact"/>
              <w:rPr>
                <w:color w:val="auto"/>
                <w:spacing w:val="-17"/>
                <w:sz w:val="22"/>
              </w:rPr>
            </w:pPr>
            <w:r>
              <w:rPr>
                <w:rFonts w:hint="eastAsia"/>
                <w:color w:val="auto"/>
                <w:spacing w:val="-17"/>
                <w:sz w:val="22"/>
              </w:rPr>
              <w:t>用好用活人才编制周转池，深入挖掘教育、医疗卫生、科研、技术推广等面向社会提供公益服务的事业单位及重点产业链企业人才需求，为高层次人才引进工作提供制度保障。</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市教育局</w:t>
            </w:r>
          </w:p>
          <w:p>
            <w:pPr>
              <w:topLinePunct/>
              <w:spacing w:line="260" w:lineRule="exact"/>
              <w:jc w:val="center"/>
              <w:rPr>
                <w:color w:val="auto"/>
                <w:spacing w:val="-17"/>
                <w:sz w:val="22"/>
              </w:rPr>
            </w:pPr>
            <w:r>
              <w:rPr>
                <w:rFonts w:hint="eastAsia"/>
                <w:color w:val="auto"/>
                <w:spacing w:val="-17"/>
                <w:sz w:val="22"/>
              </w:rPr>
              <w:t>市农业农村局</w:t>
            </w:r>
          </w:p>
          <w:p>
            <w:pPr>
              <w:topLinePunct/>
              <w:spacing w:line="260" w:lineRule="exact"/>
              <w:jc w:val="center"/>
              <w:rPr>
                <w:color w:val="auto"/>
                <w:spacing w:val="-17"/>
                <w:sz w:val="22"/>
              </w:rPr>
            </w:pPr>
            <w:r>
              <w:rPr>
                <w:rFonts w:hint="eastAsia"/>
                <w:color w:val="auto"/>
                <w:spacing w:val="-17"/>
                <w:sz w:val="22"/>
              </w:rPr>
              <w:t>市卫健委</w:t>
            </w:r>
          </w:p>
          <w:p>
            <w:pPr>
              <w:topLinePunct/>
              <w:spacing w:line="260" w:lineRule="exact"/>
              <w:jc w:val="center"/>
              <w:rPr>
                <w:color w:val="auto"/>
                <w:spacing w:val="-17"/>
                <w:sz w:val="22"/>
              </w:rPr>
            </w:pPr>
            <w:r>
              <w:rPr>
                <w:rFonts w:hint="eastAsia"/>
                <w:color w:val="auto"/>
                <w:spacing w:val="-17"/>
                <w:sz w:val="22"/>
              </w:rPr>
              <w:t>各市级工业园区、景区管委会</w:t>
            </w:r>
          </w:p>
        </w:tc>
        <w:tc>
          <w:tcPr>
            <w:tcW w:w="2490" w:type="dxa"/>
            <w:vAlign w:val="center"/>
          </w:tcPr>
          <w:p>
            <w:pPr>
              <w:topLinePunct/>
              <w:spacing w:line="260" w:lineRule="exact"/>
              <w:rPr>
                <w:color w:val="auto"/>
                <w:spacing w:val="-17"/>
                <w:sz w:val="22"/>
              </w:rPr>
            </w:pPr>
            <w:r>
              <w:rPr>
                <w:rFonts w:hint="eastAsia"/>
                <w:color w:val="auto"/>
                <w:spacing w:val="-17"/>
                <w:sz w:val="22"/>
              </w:rPr>
              <w:t>市委编办等市级相关部门，各区县委、政府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全市每年至少提供50名周转池编制用于高层次人才引进工作，各区县每年申请使用分别不少于5名。</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市委编办</w:t>
            </w:r>
          </w:p>
          <w:p>
            <w:pPr>
              <w:topLinePunct/>
              <w:spacing w:line="260" w:lineRule="exact"/>
              <w:jc w:val="center"/>
              <w:rPr>
                <w:rFonts w:hint="eastAsia"/>
                <w:color w:val="auto"/>
                <w:spacing w:val="-17"/>
                <w:sz w:val="22"/>
              </w:rPr>
            </w:pPr>
            <w:r>
              <w:rPr>
                <w:rFonts w:hint="eastAsia"/>
                <w:color w:val="auto"/>
                <w:spacing w:val="-17"/>
                <w:sz w:val="22"/>
              </w:rPr>
              <w:t>各市级工业园区、景区管委会</w:t>
            </w:r>
          </w:p>
          <w:p>
            <w:pPr>
              <w:topLinePunct/>
              <w:spacing w:line="260" w:lineRule="exact"/>
              <w:jc w:val="center"/>
              <w:rPr>
                <w:color w:val="auto"/>
                <w:spacing w:val="-17"/>
                <w:sz w:val="22"/>
              </w:rPr>
            </w:pPr>
            <w:r>
              <w:rPr>
                <w:rFonts w:hint="eastAsia"/>
                <w:color w:val="auto"/>
                <w:spacing w:val="-17"/>
                <w:sz w:val="22"/>
              </w:rPr>
              <w:t>各区县委、政府</w:t>
            </w:r>
          </w:p>
        </w:tc>
        <w:tc>
          <w:tcPr>
            <w:tcW w:w="2490" w:type="dxa"/>
            <w:vAlign w:val="center"/>
          </w:tcPr>
          <w:p>
            <w:pPr>
              <w:topLinePunct/>
              <w:spacing w:line="260" w:lineRule="exact"/>
              <w:rPr>
                <w:color w:val="auto"/>
                <w:spacing w:val="-17"/>
                <w:sz w:val="22"/>
              </w:rPr>
            </w:pPr>
            <w:r>
              <w:rPr>
                <w:rFonts w:hint="eastAsia"/>
                <w:color w:val="auto"/>
                <w:spacing w:val="-17"/>
                <w:sz w:val="22"/>
              </w:rPr>
              <w:t>市级相关部门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660" w:type="dxa"/>
            <w:vMerge w:val="restart"/>
            <w:vAlign w:val="center"/>
          </w:tcPr>
          <w:p>
            <w:pPr>
              <w:topLinePunct/>
              <w:spacing w:line="260" w:lineRule="exact"/>
              <w:jc w:val="center"/>
              <w:rPr>
                <w:bCs/>
                <w:color w:val="auto"/>
                <w:spacing w:val="-17"/>
                <w:sz w:val="22"/>
              </w:rPr>
            </w:pPr>
            <w:r>
              <w:rPr>
                <w:rFonts w:hint="eastAsia"/>
                <w:bCs/>
                <w:color w:val="auto"/>
                <w:spacing w:val="-17"/>
                <w:sz w:val="22"/>
              </w:rPr>
              <w:t>四</w:t>
            </w:r>
          </w:p>
        </w:tc>
        <w:tc>
          <w:tcPr>
            <w:tcW w:w="975" w:type="dxa"/>
            <w:vMerge w:val="restart"/>
            <w:vAlign w:val="center"/>
          </w:tcPr>
          <w:p>
            <w:pPr>
              <w:topLinePunct/>
              <w:spacing w:line="260" w:lineRule="exact"/>
              <w:rPr>
                <w:color w:val="auto"/>
                <w:spacing w:val="-17"/>
                <w:sz w:val="22"/>
              </w:rPr>
            </w:pPr>
            <w:r>
              <w:rPr>
                <w:rFonts w:hint="eastAsia"/>
                <w:color w:val="auto"/>
                <w:spacing w:val="-17"/>
                <w:sz w:val="22"/>
              </w:rPr>
              <w:t>打造“铜心办”人才服务平台，营造更具吸引力的留才环境</w:t>
            </w:r>
          </w:p>
        </w:tc>
        <w:tc>
          <w:tcPr>
            <w:tcW w:w="1020" w:type="dxa"/>
            <w:vAlign w:val="center"/>
          </w:tcPr>
          <w:p>
            <w:pPr>
              <w:topLinePunct/>
              <w:spacing w:line="260" w:lineRule="exact"/>
              <w:rPr>
                <w:color w:val="auto"/>
                <w:spacing w:val="-17"/>
                <w:sz w:val="22"/>
              </w:rPr>
            </w:pPr>
            <w:r>
              <w:rPr>
                <w:rFonts w:hint="eastAsia"/>
                <w:color w:val="auto"/>
                <w:spacing w:val="-17"/>
                <w:sz w:val="22"/>
              </w:rPr>
              <w:t>2.深化“一企一策一专班”服务功能</w:t>
            </w:r>
          </w:p>
        </w:tc>
        <w:tc>
          <w:tcPr>
            <w:tcW w:w="7695" w:type="dxa"/>
            <w:vAlign w:val="center"/>
          </w:tcPr>
          <w:p>
            <w:pPr>
              <w:topLinePunct/>
              <w:spacing w:line="260" w:lineRule="exact"/>
              <w:rPr>
                <w:color w:val="auto"/>
                <w:spacing w:val="-17"/>
                <w:sz w:val="22"/>
              </w:rPr>
            </w:pPr>
            <w:r>
              <w:rPr>
                <w:rFonts w:hint="eastAsia"/>
                <w:color w:val="auto"/>
                <w:spacing w:val="-17"/>
                <w:sz w:val="22"/>
              </w:rPr>
              <w:t>围绕市级重点企业、高新技术企业、具有发展潜力的战略新兴产业、瞪羚企业建立“一企一策”人才工作服务专班，设立20个左右“市级人才服务示范点”，选派人才管家20人，人才特派专员40人，做优做实各类服务保障工作。巩固提升人力资源部门国有企业人才服务保障水平，深入挖掘人才引进、培养、使用等方面服务事项，强化工作举措，为专班企业提供更大力度的支持保障。</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市委组织部</w:t>
            </w:r>
          </w:p>
        </w:tc>
        <w:tc>
          <w:tcPr>
            <w:tcW w:w="2490" w:type="dxa"/>
            <w:vAlign w:val="center"/>
          </w:tcPr>
          <w:p>
            <w:pPr>
              <w:topLinePunct/>
              <w:spacing w:line="260" w:lineRule="exact"/>
              <w:rPr>
                <w:color w:val="auto"/>
                <w:spacing w:val="-17"/>
                <w:sz w:val="22"/>
              </w:rPr>
            </w:pPr>
            <w:r>
              <w:rPr>
                <w:rFonts w:hint="eastAsia"/>
                <w:color w:val="auto"/>
                <w:spacing w:val="-17"/>
                <w:sz w:val="22"/>
              </w:rPr>
              <w:t>市级相关部门，各市级工业园区</w:t>
            </w:r>
            <w:r>
              <w:rPr>
                <w:rFonts w:hint="eastAsia"/>
                <w:color w:val="auto"/>
                <w:spacing w:val="-17"/>
                <w:sz w:val="22"/>
                <w:lang w:eastAsia="zh-CN"/>
              </w:rPr>
              <w:t>管委会</w:t>
            </w:r>
            <w:r>
              <w:rPr>
                <w:rFonts w:hint="eastAsia"/>
                <w:color w:val="auto"/>
                <w:spacing w:val="-17"/>
                <w:sz w:val="22"/>
              </w:rPr>
              <w:t>，各区县委、政府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restart"/>
            <w:vAlign w:val="center"/>
          </w:tcPr>
          <w:p>
            <w:pPr>
              <w:topLinePunct/>
              <w:spacing w:line="260" w:lineRule="exact"/>
              <w:rPr>
                <w:color w:val="auto"/>
                <w:spacing w:val="-17"/>
                <w:sz w:val="22"/>
              </w:rPr>
            </w:pPr>
            <w:r>
              <w:rPr>
                <w:rFonts w:hint="eastAsia"/>
                <w:color w:val="auto"/>
                <w:spacing w:val="-17"/>
                <w:sz w:val="22"/>
              </w:rPr>
              <w:t>3.完善多层次住房保障体系功能</w:t>
            </w:r>
          </w:p>
        </w:tc>
        <w:tc>
          <w:tcPr>
            <w:tcW w:w="7695" w:type="dxa"/>
            <w:vAlign w:val="center"/>
          </w:tcPr>
          <w:p>
            <w:pPr>
              <w:topLinePunct/>
              <w:spacing w:line="260" w:lineRule="exact"/>
              <w:rPr>
                <w:color w:val="auto"/>
                <w:spacing w:val="-17"/>
                <w:sz w:val="22"/>
              </w:rPr>
            </w:pPr>
            <w:r>
              <w:rPr>
                <w:rFonts w:hint="eastAsia"/>
                <w:color w:val="auto"/>
                <w:spacing w:val="-17"/>
                <w:sz w:val="22"/>
              </w:rPr>
              <w:t>制定人才购房、租房补助办法措施，对重点产业链企业及学校、医院、科研院所、职业院校刚性引进的高层次人才购房、租房提供货币化补贴。</w:t>
            </w:r>
          </w:p>
        </w:tc>
        <w:tc>
          <w:tcPr>
            <w:tcW w:w="1710" w:type="dxa"/>
            <w:vMerge w:val="restart"/>
            <w:vAlign w:val="center"/>
          </w:tcPr>
          <w:p>
            <w:pPr>
              <w:topLinePunct/>
              <w:spacing w:line="260" w:lineRule="exact"/>
              <w:jc w:val="center"/>
              <w:rPr>
                <w:color w:val="auto"/>
                <w:spacing w:val="-17"/>
                <w:sz w:val="22"/>
              </w:rPr>
            </w:pPr>
            <w:r>
              <w:rPr>
                <w:rFonts w:hint="eastAsia"/>
                <w:color w:val="auto"/>
                <w:spacing w:val="-17"/>
                <w:sz w:val="22"/>
              </w:rPr>
              <w:t>市住建局</w:t>
            </w:r>
          </w:p>
        </w:tc>
        <w:tc>
          <w:tcPr>
            <w:tcW w:w="2490" w:type="dxa"/>
            <w:vMerge w:val="restart"/>
            <w:vAlign w:val="center"/>
          </w:tcPr>
          <w:p>
            <w:pPr>
              <w:topLinePunct/>
              <w:spacing w:line="260" w:lineRule="exact"/>
              <w:rPr>
                <w:color w:val="auto"/>
                <w:spacing w:val="-17"/>
                <w:sz w:val="22"/>
              </w:rPr>
            </w:pPr>
            <w:r>
              <w:rPr>
                <w:rFonts w:hint="eastAsia"/>
                <w:color w:val="auto"/>
                <w:spacing w:val="-17"/>
                <w:sz w:val="22"/>
              </w:rPr>
              <w:t>市财政局、市人社局等市级相关部门，各区县委、政府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80" w:lineRule="exact"/>
              <w:rPr>
                <w:color w:val="auto"/>
                <w:spacing w:val="-17"/>
                <w:sz w:val="22"/>
              </w:rPr>
            </w:pPr>
            <w:r>
              <w:rPr>
                <w:rFonts w:hint="eastAsia"/>
                <w:color w:val="auto"/>
                <w:spacing w:val="-11"/>
                <w:sz w:val="22"/>
              </w:rPr>
              <w:t>对在铜工作满3年落户铜川且首次在铜购买自住商品房的博士研究生和正高级职称人才给予20万元、硕士研究生和副高级职称人才10万元购房补贴，对在铜进行成果转化获得省级以上奖励并取得显著经济社会效益的人才给予5万元购房补贴；对来铜创业且在市内租房的高层次人才团队给予每年最高3万元租房补贴，对引进的博士研究生和正高级职称人才给予每年最高2万元、硕士研究生和副高级职称人才每年最高1万元租房补贴。</w:t>
            </w:r>
          </w:p>
        </w:tc>
        <w:tc>
          <w:tcPr>
            <w:tcW w:w="1710" w:type="dxa"/>
            <w:vMerge w:val="continue"/>
            <w:vAlign w:val="center"/>
          </w:tcPr>
          <w:p>
            <w:pPr>
              <w:topLinePunct/>
              <w:spacing w:line="260" w:lineRule="exact"/>
              <w:jc w:val="center"/>
              <w:rPr>
                <w:color w:val="auto"/>
                <w:spacing w:val="-17"/>
                <w:sz w:val="22"/>
              </w:rPr>
            </w:pPr>
          </w:p>
        </w:tc>
        <w:tc>
          <w:tcPr>
            <w:tcW w:w="2490" w:type="dxa"/>
            <w:vMerge w:val="continue"/>
            <w:vAlign w:val="center"/>
          </w:tcPr>
          <w:p>
            <w:pPr>
              <w:topLinePunct/>
              <w:spacing w:line="260" w:lineRule="exact"/>
              <w:rPr>
                <w:color w:val="auto"/>
                <w:spacing w:val="-17"/>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加强市、区两级人才公寓及周边配套设施建设步伐，全面提升人才公寓管理服务水平。</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市委组织部</w:t>
            </w:r>
          </w:p>
          <w:p>
            <w:pPr>
              <w:topLinePunct/>
              <w:spacing w:line="260" w:lineRule="exact"/>
              <w:jc w:val="center"/>
              <w:rPr>
                <w:color w:val="auto"/>
                <w:spacing w:val="-17"/>
                <w:sz w:val="22"/>
              </w:rPr>
            </w:pPr>
            <w:r>
              <w:rPr>
                <w:rFonts w:hint="eastAsia"/>
                <w:color w:val="auto"/>
                <w:spacing w:val="-17"/>
                <w:sz w:val="22"/>
              </w:rPr>
              <w:t>市人社局</w:t>
            </w:r>
          </w:p>
        </w:tc>
        <w:tc>
          <w:tcPr>
            <w:tcW w:w="2490" w:type="dxa"/>
            <w:vAlign w:val="center"/>
          </w:tcPr>
          <w:p>
            <w:pPr>
              <w:topLinePunct/>
              <w:spacing w:line="260" w:lineRule="exact"/>
              <w:rPr>
                <w:color w:val="auto"/>
                <w:spacing w:val="-17"/>
                <w:sz w:val="22"/>
              </w:rPr>
            </w:pPr>
            <w:r>
              <w:rPr>
                <w:rFonts w:hint="eastAsia"/>
                <w:color w:val="auto"/>
                <w:spacing w:val="-17"/>
                <w:sz w:val="22"/>
              </w:rPr>
              <w:t>各市级工业园区管委会，各区县委、政府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Merge w:val="continue"/>
            <w:vAlign w:val="center"/>
          </w:tcPr>
          <w:p>
            <w:pPr>
              <w:topLinePunct/>
              <w:spacing w:line="260" w:lineRule="exact"/>
              <w:rPr>
                <w:color w:val="auto"/>
                <w:spacing w:val="-17"/>
                <w:sz w:val="22"/>
              </w:rPr>
            </w:pPr>
          </w:p>
        </w:tc>
        <w:tc>
          <w:tcPr>
            <w:tcW w:w="7695" w:type="dxa"/>
            <w:vAlign w:val="center"/>
          </w:tcPr>
          <w:p>
            <w:pPr>
              <w:topLinePunct/>
              <w:spacing w:line="260" w:lineRule="exact"/>
              <w:rPr>
                <w:color w:val="auto"/>
                <w:spacing w:val="-17"/>
                <w:sz w:val="22"/>
              </w:rPr>
            </w:pPr>
            <w:r>
              <w:rPr>
                <w:rFonts w:hint="eastAsia"/>
                <w:color w:val="auto"/>
                <w:spacing w:val="-17"/>
                <w:sz w:val="22"/>
              </w:rPr>
              <w:t>规划建设“人才主题公园”“人才大道”“专家人才大院”，更加突出尊重人才的理念和服务人才的功能，进一步优化人才服务生态。</w:t>
            </w:r>
          </w:p>
        </w:tc>
        <w:tc>
          <w:tcPr>
            <w:tcW w:w="1710" w:type="dxa"/>
            <w:vAlign w:val="center"/>
          </w:tcPr>
          <w:p>
            <w:pPr>
              <w:topLinePunct/>
              <w:spacing w:line="260" w:lineRule="exact"/>
              <w:jc w:val="center"/>
              <w:rPr>
                <w:rFonts w:hint="eastAsia"/>
                <w:color w:val="auto"/>
                <w:spacing w:val="-17"/>
                <w:sz w:val="22"/>
              </w:rPr>
            </w:pPr>
            <w:r>
              <w:rPr>
                <w:rFonts w:hint="eastAsia"/>
                <w:color w:val="auto"/>
                <w:spacing w:val="-17"/>
                <w:sz w:val="22"/>
              </w:rPr>
              <w:t>各市级工业园区、景区管委会</w:t>
            </w:r>
          </w:p>
          <w:p>
            <w:pPr>
              <w:topLinePunct/>
              <w:spacing w:line="260" w:lineRule="exact"/>
              <w:jc w:val="center"/>
              <w:rPr>
                <w:color w:val="auto"/>
                <w:spacing w:val="-17"/>
                <w:sz w:val="22"/>
              </w:rPr>
            </w:pPr>
            <w:r>
              <w:rPr>
                <w:rFonts w:hint="eastAsia"/>
                <w:color w:val="auto"/>
                <w:spacing w:val="-17"/>
                <w:sz w:val="22"/>
              </w:rPr>
              <w:t>各区县委、政府</w:t>
            </w:r>
          </w:p>
        </w:tc>
        <w:tc>
          <w:tcPr>
            <w:tcW w:w="2490" w:type="dxa"/>
            <w:vAlign w:val="center"/>
          </w:tcPr>
          <w:p>
            <w:pPr>
              <w:topLinePunct/>
              <w:spacing w:line="260" w:lineRule="exact"/>
              <w:rPr>
                <w:color w:val="auto"/>
                <w:spacing w:val="-17"/>
                <w:sz w:val="22"/>
              </w:rPr>
            </w:pPr>
            <w:r>
              <w:rPr>
                <w:rFonts w:hint="eastAsia"/>
                <w:color w:val="auto"/>
                <w:spacing w:val="-17"/>
                <w:sz w:val="22"/>
              </w:rPr>
              <w:t>市自然资源局、市住建局、市财政局等市级相关部门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Align w:val="center"/>
          </w:tcPr>
          <w:p>
            <w:pPr>
              <w:topLinePunct/>
              <w:spacing w:line="260" w:lineRule="exact"/>
              <w:rPr>
                <w:color w:val="auto"/>
                <w:spacing w:val="-17"/>
                <w:sz w:val="22"/>
              </w:rPr>
            </w:pPr>
            <w:r>
              <w:rPr>
                <w:rFonts w:hint="eastAsia"/>
                <w:color w:val="auto"/>
                <w:spacing w:val="-17"/>
                <w:sz w:val="22"/>
              </w:rPr>
              <w:t>4.开通人才服务“一卡通”功能</w:t>
            </w:r>
          </w:p>
        </w:tc>
        <w:tc>
          <w:tcPr>
            <w:tcW w:w="7695" w:type="dxa"/>
            <w:vAlign w:val="center"/>
          </w:tcPr>
          <w:p>
            <w:pPr>
              <w:topLinePunct/>
              <w:spacing w:line="260" w:lineRule="exact"/>
              <w:jc w:val="left"/>
              <w:rPr>
                <w:color w:val="auto"/>
                <w:spacing w:val="-17"/>
                <w:sz w:val="22"/>
              </w:rPr>
            </w:pPr>
            <w:r>
              <w:rPr>
                <w:rFonts w:hint="eastAsia"/>
                <w:color w:val="auto"/>
                <w:spacing w:val="-17"/>
                <w:sz w:val="22"/>
              </w:rPr>
              <w:t>对我市引进和培养的高层次人才发放“铜心卡”，制定“铜心卡”服务事项，对人才进行分层分类服务支持，不断提升人才服务精细化水平。</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市委组织部</w:t>
            </w:r>
          </w:p>
          <w:p>
            <w:pPr>
              <w:topLinePunct/>
              <w:spacing w:line="260" w:lineRule="exact"/>
              <w:jc w:val="center"/>
              <w:rPr>
                <w:color w:val="auto"/>
                <w:spacing w:val="-17"/>
                <w:sz w:val="22"/>
              </w:rPr>
            </w:pPr>
            <w:r>
              <w:rPr>
                <w:rFonts w:hint="eastAsia"/>
                <w:color w:val="auto"/>
                <w:spacing w:val="-17"/>
                <w:sz w:val="22"/>
              </w:rPr>
              <w:t>市人社局</w:t>
            </w:r>
          </w:p>
        </w:tc>
        <w:tc>
          <w:tcPr>
            <w:tcW w:w="2490" w:type="dxa"/>
            <w:vAlign w:val="center"/>
          </w:tcPr>
          <w:p>
            <w:pPr>
              <w:topLinePunct/>
              <w:spacing w:line="260" w:lineRule="exact"/>
              <w:jc w:val="left"/>
              <w:rPr>
                <w:color w:val="auto"/>
                <w:spacing w:val="-17"/>
                <w:sz w:val="22"/>
              </w:rPr>
            </w:pPr>
            <w:r>
              <w:rPr>
                <w:rFonts w:hint="eastAsia"/>
                <w:color w:val="auto"/>
                <w:spacing w:val="-17"/>
                <w:sz w:val="22"/>
              </w:rPr>
              <w:t>市级相关部门，各区县委、政府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660" w:type="dxa"/>
            <w:vMerge w:val="continue"/>
            <w:vAlign w:val="center"/>
          </w:tcPr>
          <w:p>
            <w:pPr>
              <w:topLinePunct/>
              <w:spacing w:line="260" w:lineRule="exact"/>
              <w:jc w:val="center"/>
              <w:rPr>
                <w:bCs/>
                <w:color w:val="auto"/>
                <w:spacing w:val="-17"/>
                <w:sz w:val="22"/>
              </w:rPr>
            </w:pPr>
          </w:p>
        </w:tc>
        <w:tc>
          <w:tcPr>
            <w:tcW w:w="975" w:type="dxa"/>
            <w:vMerge w:val="continue"/>
            <w:vAlign w:val="center"/>
          </w:tcPr>
          <w:p>
            <w:pPr>
              <w:topLinePunct/>
              <w:spacing w:line="260" w:lineRule="exact"/>
              <w:rPr>
                <w:color w:val="auto"/>
                <w:spacing w:val="-17"/>
                <w:sz w:val="22"/>
              </w:rPr>
            </w:pPr>
          </w:p>
        </w:tc>
        <w:tc>
          <w:tcPr>
            <w:tcW w:w="1020" w:type="dxa"/>
            <w:vAlign w:val="center"/>
          </w:tcPr>
          <w:p>
            <w:pPr>
              <w:topLinePunct/>
              <w:spacing w:line="260" w:lineRule="exact"/>
              <w:rPr>
                <w:color w:val="auto"/>
                <w:spacing w:val="-17"/>
                <w:sz w:val="22"/>
              </w:rPr>
            </w:pPr>
            <w:r>
              <w:rPr>
                <w:rFonts w:hint="eastAsia"/>
                <w:color w:val="auto"/>
                <w:spacing w:val="-17"/>
                <w:sz w:val="22"/>
              </w:rPr>
              <w:t>5.建立人才服务绿色通道功能</w:t>
            </w:r>
          </w:p>
        </w:tc>
        <w:tc>
          <w:tcPr>
            <w:tcW w:w="7695" w:type="dxa"/>
            <w:vAlign w:val="center"/>
          </w:tcPr>
          <w:p>
            <w:pPr>
              <w:topLinePunct/>
              <w:spacing w:line="260" w:lineRule="exact"/>
              <w:rPr>
                <w:color w:val="auto"/>
                <w:spacing w:val="-17"/>
                <w:sz w:val="22"/>
              </w:rPr>
            </w:pPr>
            <w:r>
              <w:rPr>
                <w:rFonts w:hint="eastAsia"/>
                <w:color w:val="auto"/>
                <w:spacing w:val="-17"/>
                <w:sz w:val="22"/>
              </w:rPr>
              <w:t>开辟“线上+线下”的人才服务通道，着力打造智能化、个性化、人性化的人才服务平台。线上开设“铜川市高层次人才服务专区”，提供“一站式”网上信息登记、申报、受理、审批等服务，推动人才工作各类业务“掌上通办”。线下设立“铜川市高层次人才服务窗口”，建立高层次人才服务“绿色通道”，提供暖心优质的人才服务。</w:t>
            </w:r>
          </w:p>
        </w:tc>
        <w:tc>
          <w:tcPr>
            <w:tcW w:w="1710" w:type="dxa"/>
            <w:vAlign w:val="center"/>
          </w:tcPr>
          <w:p>
            <w:pPr>
              <w:topLinePunct/>
              <w:spacing w:line="260" w:lineRule="exact"/>
              <w:jc w:val="center"/>
              <w:rPr>
                <w:color w:val="auto"/>
                <w:spacing w:val="-17"/>
                <w:sz w:val="22"/>
              </w:rPr>
            </w:pPr>
            <w:r>
              <w:rPr>
                <w:rFonts w:hint="eastAsia"/>
                <w:color w:val="auto"/>
                <w:spacing w:val="-17"/>
                <w:sz w:val="22"/>
              </w:rPr>
              <w:t>市人社局</w:t>
            </w:r>
          </w:p>
        </w:tc>
        <w:tc>
          <w:tcPr>
            <w:tcW w:w="2490" w:type="dxa"/>
            <w:vAlign w:val="center"/>
          </w:tcPr>
          <w:p>
            <w:pPr>
              <w:topLinePunct/>
              <w:spacing w:line="260" w:lineRule="exact"/>
              <w:rPr>
                <w:color w:val="auto"/>
                <w:spacing w:val="-17"/>
                <w:sz w:val="22"/>
              </w:rPr>
            </w:pPr>
            <w:r>
              <w:rPr>
                <w:rFonts w:hint="eastAsia"/>
                <w:color w:val="auto"/>
                <w:spacing w:val="-17"/>
                <w:sz w:val="22"/>
              </w:rPr>
              <w:t>市财政局等市级相关部门，各区县委、政府</w:t>
            </w:r>
          </w:p>
        </w:tc>
      </w:tr>
    </w:tbl>
    <w:p>
      <w:pPr>
        <w:spacing w:line="20" w:lineRule="exact"/>
        <w:rPr>
          <w:rFonts w:ascii="仿宋_GB2312" w:eastAsia="仿宋_GB2312"/>
        </w:rPr>
      </w:pPr>
    </w:p>
    <w:sectPr>
      <w:footerReference r:id="rId3" w:type="default"/>
      <w:pgSz w:w="16838" w:h="11906" w:orient="landscape"/>
      <w:pgMar w:top="1588" w:right="1417" w:bottom="1417" w:left="1417"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230505"/>
              <wp:effectExtent l="0" t="0" r="12065" b="10795"/>
              <wp:wrapNone/>
              <wp:docPr id="1" name="文本框 1"/>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w="6350">
                        <a:noFill/>
                      </a:ln>
                    </wps:spPr>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- 17 -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42.05pt;mso-position-horizontal:center;mso-position-horizontal-relative:margin;mso-wrap-style:none;z-index:251659264;mso-width-relative:page;mso-height-relative:page;" filled="f" stroked="f" coordsize="21600,21600" o:gfxdata="UEsDBAoAAAAAAIdO4kAAAAAAAAAAAAAAAAAEAAAAZHJzL1BLAwQUAAAACACHTuJAFs9TQdIAAAAD&#10;AQAADwAAAGRycy9kb3ducmV2LnhtbE2PwU7DMBBE70j8g7VI3KgTUlVViFOJinBEoumBoxsvScBe&#10;R7abhr9n4QKXlUYzmnlb7RZnxYwhjp4U5KsMBFLnzUi9gmPb3G1BxKTJaOsJFXxhhF19fVXp0vgL&#10;veJ8SL3gEoqlVjCkNJVSxm5Ap+PKT0jsvfvgdGIZemmCvnC5s/I+yzbS6ZF4YdAT7gfsPg9np2Df&#10;tG2YMQb7hs9N8fHyuManRanbmzx7AJFwSX9h+MFndKiZ6eTPZKKwCviR9HvZ265zECcFxaYAWVfy&#10;P3v9DVBLAwQUAAAACACHTuJAlnWmGS8CAABTBAAADgAAAGRycy9lMm9Eb2MueG1srVTNjtMwEL4j&#10;8Q6W7zRpS1coaroqWxUhVexKBXF2HaeJ5D/ZbpPyAPAGnLhw57n6HHxO0i5aOOyBizuZGX8z3zfj&#10;zm9bJclROF8bndPxKKVEaG6KWu9z+unj+tUbSnxgumDSaJHTk/D0dvHyxbyxmZiYyshCOAIQ7bPG&#10;5rQKwWZJ4nklFPMjY4VGsDROsYBPt08KxxqgK5lM0vQmaYwrrDNceA/vqg/SAdE9B9CUZc3FyvCD&#10;Ejr0qE5IFkDJV7X1dNF1W5aCh/uy9CIQmVMwDd2JIrB38UwWc5btHbNVzYcW2HNaeMJJsVqj6BVq&#10;xQIjB1f/BaVq7ow3ZRhxo5KeSKcIWIzTJ9psK2ZFxwVSe3sV3f8/WP7h+OBIXWATKNFMYeDn79/O&#10;P36df34l4yhPY32GrK1FXmjfmjamDn4PZ2Tdlk7FX/AhiEPc01Vc0QbC4ZxNX6fTGSUcock0naWz&#10;iJI8XrbOh3fCKBKNnDrMrpOUHTc+9KmXlFhLm3UtJfwsk5o0Ob2ZztLuwjUCcKlRI1LoW41WaHft&#10;0P/OFCfQcqbfC2/5ukbxDfPhgTksApjgqYR7HKU0KGIGi5LKuC//8sd8zAdRShosVk413hEl8r3G&#10;3OIOXgx3MXYXQx/UncGmYhbopTNxwQV5MUtn1Ge8n2WsgRDTHJVyGi7mXeiXG++Pi+WyS8KmWRY2&#10;emt5hI6Kebs8BAjY6RpF6ZUYtMKudZMZ3kVc5j+/u6zH/4L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bPU0HSAAAAAwEAAA8AAAAAAAAAAQAgAAAAIgAAAGRycy9kb3ducmV2LnhtbFBLAQIUABQA&#10;AAAIAIdO4kCWdaYZLwIAAFMEAAAOAAAAAAAAAAEAIAAAACE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- 17 -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OWVhYjBhODgyYTU4ZGM0ODkxMzE3NTU3ZjFlY2EifQ=="/>
  </w:docVars>
  <w:rsids>
    <w:rsidRoot w:val="008B0DCD"/>
    <w:rsid w:val="001F2100"/>
    <w:rsid w:val="002A52F4"/>
    <w:rsid w:val="003D66FD"/>
    <w:rsid w:val="005E0AD2"/>
    <w:rsid w:val="00665D8D"/>
    <w:rsid w:val="008B0652"/>
    <w:rsid w:val="008B0DCD"/>
    <w:rsid w:val="00A64AEC"/>
    <w:rsid w:val="00A9217A"/>
    <w:rsid w:val="114A0517"/>
    <w:rsid w:val="1C5569CB"/>
    <w:rsid w:val="1F832A41"/>
    <w:rsid w:val="36605A0E"/>
    <w:rsid w:val="43077097"/>
    <w:rsid w:val="4FFB7B91"/>
    <w:rsid w:val="5C1C32D2"/>
    <w:rsid w:val="5CA065B3"/>
    <w:rsid w:val="620545DB"/>
    <w:rsid w:val="668C06DF"/>
    <w:rsid w:val="75821988"/>
    <w:rsid w:val="77C2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3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rPr>
      <w:kern w:val="2"/>
      <w:szCs w:val="24"/>
    </w:rPr>
  </w:style>
  <w:style w:type="paragraph" w:styleId="3">
    <w:name w:val="index 6"/>
    <w:basedOn w:val="1"/>
    <w:next w:val="1"/>
    <w:semiHidden/>
    <w:unhideWhenUsed/>
    <w:qFormat/>
    <w:uiPriority w:val="99"/>
    <w:pPr>
      <w:ind w:left="1000" w:leftChars="1000"/>
    </w:pPr>
  </w:style>
  <w:style w:type="paragraph" w:styleId="4">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Normal Indent1"/>
    <w:basedOn w:val="1"/>
    <w:qFormat/>
    <w:uiPriority w:val="0"/>
    <w:pPr>
      <w:spacing w:line="660" w:lineRule="exact"/>
      <w:ind w:firstLine="720" w:firstLineChars="200"/>
    </w:pPr>
    <w:rPr>
      <w:kern w:val="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1985</Words>
  <Characters>11316</Characters>
  <Lines>94</Lines>
  <Paragraphs>26</Paragraphs>
  <TotalTime>3</TotalTime>
  <ScaleCrop>false</ScaleCrop>
  <LinksUpToDate>false</LinksUpToDate>
  <CharactersWithSpaces>13275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2022-12-12T05:21:00Z</dcterms:created>
  <dc:creator>微软用户</dc:creator>
  <cp:lastModifiedBy>随风</cp:lastModifiedBy>
  <cp:lastPrinted>2022-12-12T06:55:00Z</cp:lastPrinted>
  <dcterms:modified xsi:type="dcterms:W3CDTF">2023-11-30T01:16:45Z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7CF2B34EA8BF4275BD176E2CFDD8190D_13</vt:lpwstr>
  </property>
</Properties>
</file>